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5271D" w14:textId="77777777" w:rsidR="00104E66" w:rsidRPr="00E57F17" w:rsidRDefault="00104E66" w:rsidP="00104E66">
      <w:pPr>
        <w:rPr>
          <w:b/>
          <w:bCs/>
        </w:rPr>
      </w:pPr>
      <w:r w:rsidRPr="00E57F17">
        <w:rPr>
          <w:b/>
          <w:bCs/>
        </w:rPr>
        <w:t>The Continuity of Care in Early Childhood Education: Why Workforce Investments Matter Most</w:t>
      </w:r>
    </w:p>
    <w:p w14:paraId="4C8A482B" w14:textId="1473DA98" w:rsidR="00104E66" w:rsidRPr="00E57F17" w:rsidRDefault="006E6137" w:rsidP="00104E66">
      <w:pPr>
        <w:rPr>
          <w:b/>
          <w:bCs/>
        </w:rPr>
      </w:pPr>
      <w:r w:rsidRPr="00E57F17">
        <w:rPr>
          <w:b/>
          <w:bCs/>
        </w:rPr>
        <w:t>July 24</w:t>
      </w:r>
      <w:r w:rsidR="00104E66" w:rsidRPr="00E57F17">
        <w:rPr>
          <w:b/>
          <w:bCs/>
        </w:rPr>
        <w:t>, 2026</w:t>
      </w:r>
    </w:p>
    <w:p w14:paraId="6FFF8225" w14:textId="77777777" w:rsidR="00104E66" w:rsidRPr="00E57F17" w:rsidRDefault="00104E66" w:rsidP="00104E66">
      <w:pPr>
        <w:rPr>
          <w:b/>
          <w:bCs/>
        </w:rPr>
      </w:pPr>
      <w:r w:rsidRPr="00E57F17">
        <w:rPr>
          <w:b/>
          <w:bCs/>
        </w:rPr>
        <w:t>Chris Angellatta, Ph.D.</w:t>
      </w:r>
    </w:p>
    <w:p w14:paraId="3830AE31" w14:textId="77777777" w:rsidR="00104E66" w:rsidRPr="00E57F17" w:rsidRDefault="004C6E79" w:rsidP="00104E66">
      <w:r w:rsidRPr="00E57F17">
        <w:pict w14:anchorId="382467B7">
          <v:rect id="_x0000_i1025" style="width:0;height:1.5pt" o:hralign="center" o:hrstd="t" o:hr="t" fillcolor="#a0a0a0" stroked="f"/>
        </w:pict>
      </w:r>
    </w:p>
    <w:p w14:paraId="3E97653E" w14:textId="77777777" w:rsidR="00104E66" w:rsidRPr="00E57F17" w:rsidRDefault="00104E66" w:rsidP="00104E66">
      <w:r w:rsidRPr="00E57F17">
        <w:t>Executive Summary</w:t>
      </w:r>
    </w:p>
    <w:p w14:paraId="5113D463" w14:textId="77777777" w:rsidR="00104E66" w:rsidRPr="00E57F17" w:rsidRDefault="00104E66" w:rsidP="00104E66">
      <w:r w:rsidRPr="00E57F17">
        <w:t>Continuity of care, the sustained, stable relationship between children and their early educators, is one of the strongest and most consistent predictors of positive developmental outcomes in early childhood education (ECE). Research across developmental psychology, attachment theory, and education science demonstrates that stable caregiver relationships support children’s early cognitive development, language acquisition, emotional regulation, and long-term school readiness. Conversely, staffing instability—especially intra</w:t>
      </w:r>
      <w:r w:rsidRPr="00E57F17">
        <w:noBreakHyphen/>
        <w:t>year teacher turnover—creates developmental disruptions that undermine classroom quality, elevate stress for children and staff, and reduce the effectiveness of curriculum and assessment systems.</w:t>
      </w:r>
    </w:p>
    <w:p w14:paraId="00C7C424" w14:textId="77777777" w:rsidR="00104E66" w:rsidRPr="00E57F17" w:rsidRDefault="00104E66" w:rsidP="00104E66">
      <w:r w:rsidRPr="00E57F17">
        <w:t>In Ohio, workforce investments through TEACH Early Childhood® OHIO (TEACH) and POWER Ohio wage supplements have produced some of the strongest state</w:t>
      </w:r>
      <w:r w:rsidRPr="00E57F17">
        <w:noBreakHyphen/>
        <w:t>level evidence in the nation that targeted workforce investment improves educator retention, extends career duration, and stabilizes child-care staffing at scale. These programs have significantly reduced turnover—one of the most central barriers to providing strong continuity of care.</w:t>
      </w:r>
    </w:p>
    <w:p w14:paraId="0ABC5B51" w14:textId="77777777" w:rsidR="00104E66" w:rsidRPr="00E57F17" w:rsidRDefault="00104E66" w:rsidP="00104E66">
      <w:r w:rsidRPr="00E57F17">
        <w:t>This white paper synthesizes:</w:t>
      </w:r>
    </w:p>
    <w:p w14:paraId="7707FBC7" w14:textId="77777777" w:rsidR="00104E66" w:rsidRPr="00E57F17" w:rsidRDefault="00104E66" w:rsidP="000A700C">
      <w:pPr>
        <w:pStyle w:val="ListParagraph"/>
        <w:numPr>
          <w:ilvl w:val="0"/>
          <w:numId w:val="1"/>
        </w:numPr>
      </w:pPr>
      <w:r w:rsidRPr="00E57F17">
        <w:t>Peer-reviewed studies on child development and continuity of care</w:t>
      </w:r>
    </w:p>
    <w:p w14:paraId="08530655" w14:textId="77777777" w:rsidR="00104E66" w:rsidRPr="00E57F17" w:rsidRDefault="00104E66" w:rsidP="000A700C">
      <w:pPr>
        <w:pStyle w:val="ListParagraph"/>
        <w:numPr>
          <w:ilvl w:val="0"/>
          <w:numId w:val="1"/>
        </w:numPr>
      </w:pPr>
      <w:r w:rsidRPr="00E57F17">
        <w:t xml:space="preserve">National </w:t>
      </w:r>
      <w:proofErr w:type="gramStart"/>
      <w:r w:rsidRPr="00E57F17">
        <w:t>analyses</w:t>
      </w:r>
      <w:proofErr w:type="gramEnd"/>
      <w:r w:rsidRPr="00E57F17">
        <w:t xml:space="preserve"> of educator turnover</w:t>
      </w:r>
    </w:p>
    <w:p w14:paraId="74269E80" w14:textId="77777777" w:rsidR="00104E66" w:rsidRPr="00E57F17" w:rsidRDefault="00104E66" w:rsidP="000A700C">
      <w:pPr>
        <w:pStyle w:val="ListParagraph"/>
        <w:numPr>
          <w:ilvl w:val="0"/>
          <w:numId w:val="1"/>
        </w:numPr>
      </w:pPr>
      <w:r w:rsidRPr="00E57F17">
        <w:t>Search Institute evidence on Developmental Assets and Developmental Relationships</w:t>
      </w:r>
    </w:p>
    <w:p w14:paraId="089B9A7A" w14:textId="77777777" w:rsidR="00104E66" w:rsidRPr="00E57F17" w:rsidRDefault="00104E66" w:rsidP="000A700C">
      <w:pPr>
        <w:pStyle w:val="ListParagraph"/>
        <w:numPr>
          <w:ilvl w:val="0"/>
          <w:numId w:val="1"/>
        </w:numPr>
      </w:pPr>
      <w:r w:rsidRPr="00E57F17">
        <w:t>OCCRRA’s Workforce and Program Analysis Platform (WPAP) findings</w:t>
      </w:r>
    </w:p>
    <w:p w14:paraId="5481E51A" w14:textId="77777777" w:rsidR="00104E66" w:rsidRPr="00E57F17" w:rsidRDefault="00104E66" w:rsidP="000A700C">
      <w:pPr>
        <w:pStyle w:val="ListParagraph"/>
        <w:numPr>
          <w:ilvl w:val="0"/>
          <w:numId w:val="1"/>
        </w:numPr>
      </w:pPr>
      <w:r w:rsidRPr="00E57F17">
        <w:t>Ohio-specific workforce retention data from TEACH and POWER</w:t>
      </w:r>
    </w:p>
    <w:p w14:paraId="163F0BC9" w14:textId="5A55E8A3" w:rsidR="00104E66" w:rsidRPr="00E57F17" w:rsidRDefault="00104E66" w:rsidP="00104E66">
      <w:r w:rsidRPr="00E57F17">
        <w:t xml:space="preserve">The conclusion is </w:t>
      </w:r>
      <w:r w:rsidR="000A700C" w:rsidRPr="00E57F17">
        <w:t>clear</w:t>
      </w:r>
      <w:r w:rsidRPr="00E57F17">
        <w:t>: continuity of the child-care workforce is the most foundational input for children’s developmental success, and investments in workforce retention are among the most effective strategies states can adopt.</w:t>
      </w:r>
    </w:p>
    <w:p w14:paraId="0BB3E2BB" w14:textId="77777777" w:rsidR="00104E66" w:rsidRPr="00E57F17" w:rsidRDefault="00104E66" w:rsidP="00104E66"/>
    <w:p w14:paraId="0F0DE911" w14:textId="77777777" w:rsidR="00104E66" w:rsidRPr="00E57F17" w:rsidRDefault="00104E66" w:rsidP="00104E66"/>
    <w:p w14:paraId="23B2EF71" w14:textId="77777777" w:rsidR="00104E66" w:rsidRPr="00E57F17" w:rsidRDefault="00104E66" w:rsidP="00104E66"/>
    <w:p w14:paraId="229899B8" w14:textId="77777777" w:rsidR="00104E66" w:rsidRPr="00E57F17" w:rsidRDefault="00104E66" w:rsidP="00104E66">
      <w:pPr>
        <w:rPr>
          <w:u w:val="single"/>
        </w:rPr>
      </w:pPr>
      <w:r w:rsidRPr="00E57F17">
        <w:rPr>
          <w:u w:val="single"/>
        </w:rPr>
        <w:t>Introduction</w:t>
      </w:r>
    </w:p>
    <w:p w14:paraId="534DEF40" w14:textId="77777777" w:rsidR="00104E66" w:rsidRPr="00E57F17" w:rsidRDefault="00104E66" w:rsidP="00104E66">
      <w:r w:rsidRPr="00E57F17">
        <w:t>Continuity of care refers to a consistent, ongoing relationship between a child and their primary caregiver or teacher over time. For infants and toddlers especially, continuity of caregiving replicates the relational stability required to form secure attachment, a central element of early social–emotional development. For preschool-age children, continuity ensures instructional consistency, culturally responsive relationship</w:t>
      </w:r>
      <w:r w:rsidRPr="00E57F17">
        <w:noBreakHyphen/>
        <w:t>building, and the ability to align teaching practices with developmental progressions.</w:t>
      </w:r>
    </w:p>
    <w:p w14:paraId="6FE0480F" w14:textId="77777777" w:rsidR="00104E66" w:rsidRPr="00E57F17" w:rsidRDefault="00104E66" w:rsidP="00104E66">
      <w:r w:rsidRPr="00E57F17">
        <w:t>However, the U.S. early childhood education system faces historically high turnover rates, often 25–35% annually, and even higher in infant–toddler classrooms. Turnover is closely tied to low wages, inconsistent schedules, inadequate benefits, and limited advancement opportunities. These conditions make stability difficult for educators and destabilizing for children.</w:t>
      </w:r>
    </w:p>
    <w:p w14:paraId="0A39512D" w14:textId="77777777" w:rsidR="00104E66" w:rsidRPr="00E57F17" w:rsidRDefault="00104E66" w:rsidP="00104E66">
      <w:r w:rsidRPr="00E57F17">
        <w:t>Ohio has invested significantly in workforce stabilization through the TEACH scholarship program and the POWER wage supplement. OCCRRA’s internal workforce analytics (WPAP) show that these programs improve career longevity, educator retention, and employer stability. As a result, they strengthen continuity of care and promote better developmental outcomes for children.</w:t>
      </w:r>
    </w:p>
    <w:p w14:paraId="53EBEA36" w14:textId="77777777" w:rsidR="00104E66" w:rsidRPr="00E57F17" w:rsidRDefault="00104E66" w:rsidP="00104E66">
      <w:r w:rsidRPr="00E57F17">
        <w:t>This paper expands the depth of the research narrative and integrates additional national, state, and organizational evidence to strengthen the case for making continuity of care, and the workforce investments that support it, a central policy priority.</w:t>
      </w:r>
    </w:p>
    <w:p w14:paraId="1C8502AB" w14:textId="77777777" w:rsidR="00104E66" w:rsidRPr="00E57F17" w:rsidRDefault="00104E66" w:rsidP="00104E66"/>
    <w:p w14:paraId="35C426EC" w14:textId="77777777" w:rsidR="00104E66" w:rsidRPr="00E57F17" w:rsidRDefault="00104E66" w:rsidP="00104E66">
      <w:pPr>
        <w:rPr>
          <w:u w:val="single"/>
        </w:rPr>
      </w:pPr>
      <w:r w:rsidRPr="00E57F17">
        <w:rPr>
          <w:u w:val="single"/>
        </w:rPr>
        <w:t>The Importance of Continuity of Care</w:t>
      </w:r>
    </w:p>
    <w:p w14:paraId="41160C8B" w14:textId="77777777" w:rsidR="00104E66" w:rsidRPr="00E57F17" w:rsidRDefault="00104E66" w:rsidP="00104E66">
      <w:r w:rsidRPr="00E57F17">
        <w:t>Continuity of care is not a single practice but an ecosystem-level condition that makes high-quality teaching and learning possible. Below are expanded subsections supported by additional research.</w:t>
      </w:r>
    </w:p>
    <w:p w14:paraId="05EBFE0D" w14:textId="77777777" w:rsidR="00104E66" w:rsidRPr="00E57F17" w:rsidRDefault="00104E66" w:rsidP="00104E66">
      <w:r w:rsidRPr="00E57F17">
        <w:t>1. Attachment Security and Relational Consistency</w:t>
      </w:r>
    </w:p>
    <w:p w14:paraId="497DEC20" w14:textId="77777777" w:rsidR="00104E66" w:rsidRPr="00E57F17" w:rsidRDefault="00104E66" w:rsidP="00104E66">
      <w:r w:rsidRPr="00E57F17">
        <w:t>Attachment theory posits that children thrive when relationships with caregivers are consistent, sensitive, and contingent upon children’s needs. When caregivers change frequently, children lose access to the secure base needed to explore, regulate emotions, and learn effectively.</w:t>
      </w:r>
    </w:p>
    <w:p w14:paraId="7ED85253" w14:textId="77777777" w:rsidR="00104E66" w:rsidRPr="00E57F17" w:rsidRDefault="00104E66" w:rsidP="00104E66">
      <w:r w:rsidRPr="00E57F17">
        <w:lastRenderedPageBreak/>
        <w:t>A meta</w:t>
      </w:r>
      <w:r w:rsidRPr="00E57F17">
        <w:noBreakHyphen/>
        <w:t xml:space="preserve">analysis of 40 studies (N=2,867 children) found that secure attachment to nonparental caregivers was significantly more likely when staffing was stable. Stability mattered even more in center-based settings, where children navigate group dynamics. Additionally, caregiver sensitivity, especially group sensitivity, predicted security. Ultimately longer time with the same caregiver increased attachment likelihood (Ahnert, </w:t>
      </w:r>
      <w:proofErr w:type="spellStart"/>
      <w:r w:rsidRPr="00E57F17">
        <w:t>Pinquart</w:t>
      </w:r>
      <w:proofErr w:type="spellEnd"/>
      <w:r w:rsidRPr="00E57F17">
        <w:t xml:space="preserve"> &amp; Lamb, 2006)</w:t>
      </w:r>
    </w:p>
    <w:p w14:paraId="4BDB3E07" w14:textId="77777777" w:rsidR="00104E66" w:rsidRPr="00E57F17" w:rsidRDefault="00104E66" w:rsidP="00104E66">
      <w:r w:rsidRPr="00E57F17">
        <w:t>Longitudinal evidence showed teacher–child relationship quality remained stable only when the teacher remained the same. When teachers changed, relationship quality regressed and required time to rebuild. Teacher–child relationships are distinct from, but structurally parallel to, parent–child attachment (Howes &amp; Hamilton, 1993).</w:t>
      </w:r>
    </w:p>
    <w:p w14:paraId="34E76065" w14:textId="77777777" w:rsidR="00104E66" w:rsidRPr="00E57F17" w:rsidRDefault="00104E66" w:rsidP="00104E66">
      <w:r w:rsidRPr="00E57F17">
        <w:t>The NICHD SECCYD study (1997–2006) concludes that multiple care arrangements and caregiver changes predicted less secure child–caregiver relationships. Stable, sensitive care buffered children against risks associated with family stress or low maternal sensitivity. High-quality stable care led to better social competence and fewer behavioral challenges.</w:t>
      </w:r>
    </w:p>
    <w:p w14:paraId="2B69D1F8" w14:textId="77777777" w:rsidR="00104E66" w:rsidRPr="00E57F17" w:rsidRDefault="00104E66" w:rsidP="00104E66">
      <w:r w:rsidRPr="00E57F17">
        <w:t xml:space="preserve">These studies collectively show that young children require consistent educators to support healthy emotional development, and that turnover undermines this foundation </w:t>
      </w:r>
    </w:p>
    <w:p w14:paraId="15A8D151" w14:textId="77777777" w:rsidR="00104E66" w:rsidRPr="00E57F17" w:rsidRDefault="00104E66" w:rsidP="00104E66"/>
    <w:p w14:paraId="0872C913" w14:textId="77777777" w:rsidR="00104E66" w:rsidRPr="00E57F17" w:rsidRDefault="00104E66" w:rsidP="00104E66">
      <w:r w:rsidRPr="00E57F17">
        <w:t>2. Language, Cognition, and Proximal–Distal Academic Outcomes</w:t>
      </w:r>
    </w:p>
    <w:p w14:paraId="36989DAB" w14:textId="77777777" w:rsidR="00104E66" w:rsidRPr="00E57F17" w:rsidRDefault="00104E66" w:rsidP="00104E66">
      <w:r w:rsidRPr="00E57F17">
        <w:t xml:space="preserve">This longitudinal study of 1,055 children demonstrated rich caregiver–child verbal interactions at 6–36 months predicted stronger language outcomes at 36 months. </w:t>
      </w:r>
      <w:r w:rsidRPr="00E57F17">
        <w:rPr>
          <w:highlight w:val="yellow"/>
        </w:rPr>
        <w:t>LENA</w:t>
      </w:r>
      <w:r w:rsidRPr="00E57F17">
        <w:t xml:space="preserve"> These language gains mediated higher academic and social skills in kindergarten. Stability of caregiving independently predicted higher kindergarten social skills. This suggests continuity of care amplifies the effects of high-quality instruction, especially in early communication and cognitive development (Bratsch-Hines et al., 2020)</w:t>
      </w:r>
    </w:p>
    <w:p w14:paraId="17E572B4" w14:textId="77777777" w:rsidR="00104E66" w:rsidRPr="00E57F17" w:rsidRDefault="00104E66" w:rsidP="00104E66"/>
    <w:p w14:paraId="586E251A" w14:textId="77777777" w:rsidR="00104E66" w:rsidRPr="00E57F17" w:rsidRDefault="00104E66" w:rsidP="00104E66">
      <w:r w:rsidRPr="00E57F17">
        <w:t>3. Classroom Functioning, Stress, and Daily Routines</w:t>
      </w:r>
    </w:p>
    <w:p w14:paraId="14923BC0" w14:textId="77777777" w:rsidR="00104E66" w:rsidRPr="00E57F17" w:rsidRDefault="00104E66" w:rsidP="00104E66">
      <w:r w:rsidRPr="00E57F17">
        <w:t>Their mixed</w:t>
      </w:r>
      <w:r w:rsidRPr="00E57F17">
        <w:noBreakHyphen/>
        <w:t>methods analysis across 13 preschool classrooms found turnover produced daily disruptions and higher stress. Teachers, directors, and parents expressed concern about emotional and instructional inconsistency. Programs with high turnover showed lower overall quality and less effective teaching. Turnover increases cognitive load on children, makes routines unpredictable, and contributes to behavior challenges that impede learning (Cassidy et al., 2011).</w:t>
      </w:r>
    </w:p>
    <w:p w14:paraId="490AFE67" w14:textId="77777777" w:rsidR="00104E66" w:rsidRPr="00E57F17" w:rsidRDefault="00104E66" w:rsidP="00104E66"/>
    <w:p w14:paraId="45CEA476" w14:textId="77777777" w:rsidR="00104E66" w:rsidRPr="00E57F17" w:rsidRDefault="00104E66" w:rsidP="00104E66">
      <w:r w:rsidRPr="00E57F17">
        <w:t>4. School Readiness and Within</w:t>
      </w:r>
      <w:r w:rsidRPr="00E57F17">
        <w:noBreakHyphen/>
        <w:t>Year Turnover</w:t>
      </w:r>
    </w:p>
    <w:p w14:paraId="2388240D" w14:textId="77777777" w:rsidR="00104E66" w:rsidRPr="00E57F17" w:rsidRDefault="00104E66" w:rsidP="00104E66">
      <w:r w:rsidRPr="00E57F17">
        <w:t>National Head Start data revealed, within</w:t>
      </w:r>
      <w:r w:rsidRPr="00E57F17">
        <w:noBreakHyphen/>
        <w:t>year turnover is approximately 9–10% annually. Children experiencing mid-year teacher turnover showed lower language, literacy, and socioemotional scores by spring. Turnover had stronger effects in settings serving children from families with lower income. This is the first national causal estimate of turnover’s direct, measurable impact on school readiness (Markowitz, 2024).</w:t>
      </w:r>
    </w:p>
    <w:p w14:paraId="38DBD0C1" w14:textId="77777777" w:rsidR="00104E66" w:rsidRPr="00E57F17" w:rsidRDefault="00104E66" w:rsidP="00104E66"/>
    <w:p w14:paraId="63E44145" w14:textId="77777777" w:rsidR="00104E66" w:rsidRPr="00E57F17" w:rsidRDefault="00104E66" w:rsidP="00104E66">
      <w:r w:rsidRPr="00E57F17">
        <w:t>5. Developmental Assets and Developmental Relationships</w:t>
      </w:r>
    </w:p>
    <w:p w14:paraId="46A8E702" w14:textId="77777777" w:rsidR="00104E66" w:rsidRPr="00E57F17" w:rsidRDefault="00104E66" w:rsidP="00104E66">
      <w:r w:rsidRPr="00E57F17">
        <w:t>The Search Institute’s frameworks add a broader developmental lens. The 40 Developmental Assets for early childhood document external supports such as caring adults, predictable boundaries, and empowering relationships. Internal strengths such as self-regulation, social competence, and commitment to learning. Continuity of care directly supports these assets.</w:t>
      </w:r>
    </w:p>
    <w:p w14:paraId="58B303A1" w14:textId="77777777" w:rsidR="00104E66" w:rsidRPr="00E57F17" w:rsidRDefault="00104E66" w:rsidP="00104E66">
      <w:r w:rsidRPr="00E57F17">
        <w:t>Five key relational actions predict child thriving:</w:t>
      </w:r>
    </w:p>
    <w:p w14:paraId="669F1166" w14:textId="77777777" w:rsidR="00104E66" w:rsidRPr="00E57F17" w:rsidRDefault="00104E66" w:rsidP="0050673D">
      <w:pPr>
        <w:pStyle w:val="ListParagraph"/>
        <w:numPr>
          <w:ilvl w:val="0"/>
          <w:numId w:val="2"/>
        </w:numPr>
      </w:pPr>
      <w:r w:rsidRPr="00E57F17">
        <w:t>Express Care</w:t>
      </w:r>
    </w:p>
    <w:p w14:paraId="7F6B750E" w14:textId="77777777" w:rsidR="00104E66" w:rsidRPr="00E57F17" w:rsidRDefault="00104E66" w:rsidP="0050673D">
      <w:pPr>
        <w:pStyle w:val="ListParagraph"/>
        <w:numPr>
          <w:ilvl w:val="0"/>
          <w:numId w:val="2"/>
        </w:numPr>
      </w:pPr>
      <w:r w:rsidRPr="00E57F17">
        <w:t>Challenge Growth</w:t>
      </w:r>
    </w:p>
    <w:p w14:paraId="587695B7" w14:textId="77777777" w:rsidR="00104E66" w:rsidRPr="00E57F17" w:rsidRDefault="00104E66" w:rsidP="0050673D">
      <w:pPr>
        <w:pStyle w:val="ListParagraph"/>
        <w:numPr>
          <w:ilvl w:val="0"/>
          <w:numId w:val="2"/>
        </w:numPr>
      </w:pPr>
      <w:proofErr w:type="gramStart"/>
      <w:r w:rsidRPr="00E57F17">
        <w:t>Provide</w:t>
      </w:r>
      <w:proofErr w:type="gramEnd"/>
      <w:r w:rsidRPr="00E57F17">
        <w:t xml:space="preserve"> Support</w:t>
      </w:r>
    </w:p>
    <w:p w14:paraId="585A8298" w14:textId="77777777" w:rsidR="00104E66" w:rsidRPr="00E57F17" w:rsidRDefault="00104E66" w:rsidP="0050673D">
      <w:pPr>
        <w:pStyle w:val="ListParagraph"/>
        <w:numPr>
          <w:ilvl w:val="0"/>
          <w:numId w:val="2"/>
        </w:numPr>
      </w:pPr>
      <w:r w:rsidRPr="00E57F17">
        <w:t>Share Power</w:t>
      </w:r>
    </w:p>
    <w:p w14:paraId="2350D763" w14:textId="77777777" w:rsidR="00104E66" w:rsidRPr="00E57F17" w:rsidRDefault="00104E66" w:rsidP="0050673D">
      <w:pPr>
        <w:pStyle w:val="ListParagraph"/>
        <w:numPr>
          <w:ilvl w:val="0"/>
          <w:numId w:val="2"/>
        </w:numPr>
      </w:pPr>
      <w:r w:rsidRPr="00E57F17">
        <w:t>Expand Possibilities</w:t>
      </w:r>
    </w:p>
    <w:p w14:paraId="6F63C675" w14:textId="77777777" w:rsidR="00104E66" w:rsidRPr="00E57F17" w:rsidRDefault="00104E66" w:rsidP="00104E66">
      <w:r w:rsidRPr="00E57F17">
        <w:t>Consistent educators are the only ones who can reliably deliver these relational actions. Frequent turnover makes developmental relationships impossible to sustain.</w:t>
      </w:r>
    </w:p>
    <w:p w14:paraId="61C15A02" w14:textId="77777777" w:rsidR="00104E66" w:rsidRPr="00E57F17" w:rsidRDefault="00104E66" w:rsidP="00104E66"/>
    <w:p w14:paraId="51A6E0F5" w14:textId="77777777" w:rsidR="00104E66" w:rsidRPr="00E57F17" w:rsidRDefault="00104E66" w:rsidP="00104E66">
      <w:pPr>
        <w:rPr>
          <w:u w:val="single"/>
        </w:rPr>
      </w:pPr>
      <w:r w:rsidRPr="00E57F17">
        <w:rPr>
          <w:u w:val="single"/>
        </w:rPr>
        <w:t>Workforce Investment as the Primary Driver of Stability</w:t>
      </w:r>
    </w:p>
    <w:p w14:paraId="0A10F5DE" w14:textId="77777777" w:rsidR="00104E66" w:rsidRPr="00E57F17" w:rsidRDefault="00104E66" w:rsidP="00104E66">
      <w:r w:rsidRPr="00E57F17">
        <w:t>The strongest evidence in this paper comes from Ohio’s own workforce analytics.</w:t>
      </w:r>
    </w:p>
    <w:p w14:paraId="47B4F77A" w14:textId="77777777" w:rsidR="00104E66" w:rsidRPr="00E57F17" w:rsidRDefault="00104E66" w:rsidP="00104E66">
      <w:r w:rsidRPr="00E57F17">
        <w:t>OCCRRA’s WPAP system shows TEACH Early Childhood® OHIO. Participants remain in the ECE workforce 54.8% longer. TEACH graduates stay with their employer 16.4% longer. TEACH graduates exit the field at only 34% the rate of non</w:t>
      </w:r>
      <w:r w:rsidRPr="00E57F17">
        <w:noBreakHyphen/>
        <w:t>participants. AA/BA completers show 96–97% annual retention, among the highest rates in the nation.</w:t>
      </w:r>
    </w:p>
    <w:p w14:paraId="0486D525" w14:textId="77777777" w:rsidR="00104E66" w:rsidRPr="00E57F17" w:rsidRDefault="00104E66" w:rsidP="00104E66">
      <w:r w:rsidRPr="00E57F17">
        <w:t>POWER participants remain in the ECE workforce 120.3% longer. They stay with their employer 87% longer. They change jobs 56% less often. Mid</w:t>
      </w:r>
      <w:r w:rsidRPr="00E57F17">
        <w:noBreakHyphen/>
        <w:t xml:space="preserve">90% retention rates for active </w:t>
      </w:r>
      <w:r w:rsidRPr="00E57F17">
        <w:lastRenderedPageBreak/>
        <w:t>participants~50% reduction in employer change likelihood. In 2024, TEACH and POWER touched 51,107 children in Ohio. These outcomes represent dramatic workforce stabilization, far beyond what national averages predict.</w:t>
      </w:r>
    </w:p>
    <w:p w14:paraId="43ABAD68" w14:textId="77777777" w:rsidR="00104E66" w:rsidRPr="00E57F17" w:rsidRDefault="00104E66" w:rsidP="00104E66"/>
    <w:p w14:paraId="2C2834C4" w14:textId="77777777" w:rsidR="00104E66" w:rsidRPr="00E57F17" w:rsidRDefault="00104E66" w:rsidP="00104E66">
      <w:pPr>
        <w:rPr>
          <w:u w:val="single"/>
        </w:rPr>
      </w:pPr>
      <w:r w:rsidRPr="00E57F17">
        <w:rPr>
          <w:u w:val="single"/>
        </w:rPr>
        <w:t>Child Outcomes as Secondary Effects of Workforce Stability</w:t>
      </w:r>
    </w:p>
    <w:p w14:paraId="1D7D0FB5" w14:textId="77777777" w:rsidR="00104E66" w:rsidRPr="00E57F17" w:rsidRDefault="00104E66" w:rsidP="00104E66">
      <w:r w:rsidRPr="00E57F17">
        <w:t xml:space="preserve">Children benefit indirectly, but powerfully, from a stable workforce. There are four impacts of Workforce Stability; stronger emotional regulation and secure relationships, stronger cognitive language development, higher school readiness, and implementation of </w:t>
      </w:r>
      <w:proofErr w:type="gramStart"/>
      <w:r w:rsidRPr="00E57F17">
        <w:t>high quality</w:t>
      </w:r>
      <w:proofErr w:type="gramEnd"/>
      <w:r w:rsidRPr="00E57F17">
        <w:t xml:space="preserve"> curriculum.  </w:t>
      </w:r>
    </w:p>
    <w:p w14:paraId="61D057B0" w14:textId="77777777" w:rsidR="00104E66" w:rsidRPr="00E57F17" w:rsidRDefault="00104E66" w:rsidP="00104E66">
      <w:r w:rsidRPr="00E57F17">
        <w:t>1. Stronger Emotional Regulation and Secure Relationships</w:t>
      </w:r>
    </w:p>
    <w:p w14:paraId="10C0D8FA" w14:textId="77777777" w:rsidR="00104E66" w:rsidRPr="00E57F17" w:rsidRDefault="00104E66" w:rsidP="00104E66">
      <w:r w:rsidRPr="00E57F17">
        <w:t xml:space="preserve">Consistent educators help children manage transitions, express emotions safely, and build trust. Children’s capacity to regulate emotions, manage stress, and engage productively in learning environments is rooted in the presence of stable, responsive adult relationships. Attachment theory and developmental research consistently demonstrate that young children rely on predictable caregivers </w:t>
      </w:r>
      <w:proofErr w:type="gramStart"/>
      <w:r w:rsidRPr="00E57F17">
        <w:t>to co</w:t>
      </w:r>
      <w:r w:rsidRPr="00E57F17">
        <w:noBreakHyphen/>
        <w:t>regulate</w:t>
      </w:r>
      <w:proofErr w:type="gramEnd"/>
      <w:r w:rsidRPr="00E57F17">
        <w:t xml:space="preserve"> emotional responses, especially during periods of transition or challenge. When educators remain consistent over time, children are better able to anticipate routines, seek support appropriately, and develop trust in adults outside their home environment. Longitudinal evidence shows that teacher–child relationship quality remains stable only when the teacher remains the same; when teachers change, relationship quality deteriorates and must be rebuilt, often at significant emotional cost to children. </w:t>
      </w:r>
    </w:p>
    <w:p w14:paraId="5150A0B9" w14:textId="77777777" w:rsidR="00104E66" w:rsidRPr="00E57F17" w:rsidRDefault="00104E66" w:rsidP="00104E66">
      <w:r w:rsidRPr="00E57F17">
        <w:t xml:space="preserve">The NICHD Study of Early Child Care and Youth Development further underscores that multiple caregiver changes predict less secure child–caregiver relationships and poorer socioemotional outcomes, while stable, sensitive care buffers children against family stress and other risk factors. These findings are particularly salient for infants and toddlers, for whom emotional regulation is entirely scaffolded by adult caregivers. Frequent turnover disrupts this regulatory scaffold, leading to increased stress, dysregulation, and behavioral challenges that impede learning and social development. </w:t>
      </w:r>
    </w:p>
    <w:p w14:paraId="1D32B200" w14:textId="77777777" w:rsidR="00104E66" w:rsidRPr="00E57F17" w:rsidRDefault="00104E66" w:rsidP="00104E66">
      <w:r w:rsidRPr="00E57F17">
        <w:t xml:space="preserve">The Search Institute’s Developmental Assets and Developmental Relationships frameworks reinforce these findings by identifying consistent, caring adult relationships as essential external assets that support emotional safety, trust, and a sense of belonging. Relational actions such as expressing care, providing support, and establishing predictable boundaries cannot be sustained in environments characterized by frequent staff turnover, making workforce continuity a prerequisite for the emotional foundations of child development. </w:t>
      </w:r>
    </w:p>
    <w:p w14:paraId="3CE366D8" w14:textId="77777777" w:rsidR="00104E66" w:rsidRPr="00E57F17" w:rsidRDefault="00104E66" w:rsidP="00104E66"/>
    <w:p w14:paraId="7AED32D3" w14:textId="77777777" w:rsidR="00104E66" w:rsidRPr="00E57F17" w:rsidRDefault="00104E66" w:rsidP="00104E66">
      <w:r w:rsidRPr="00E57F17">
        <w:t>2. Stronger Cognitive and Language Development</w:t>
      </w:r>
    </w:p>
    <w:p w14:paraId="78C3B7FE" w14:textId="77777777" w:rsidR="00104E66" w:rsidRPr="00E57F17" w:rsidRDefault="00104E66" w:rsidP="00104E66">
      <w:r w:rsidRPr="00E57F17">
        <w:t>Educators who stay longer know children’s strengths and needs and can individualize instruction. Stable educator–child relationships also play a critical role in children’s cognitive and language development. Educators who remain in classrooms over time develop deep knowledge of individual children’s strengths, developmental trajectories, cultural contexts, and learning needs. This familiarity enables educators to tailor instruction, scaffold emerging skills, and engage in sustained, high</w:t>
      </w:r>
      <w:r w:rsidRPr="00E57F17">
        <w:noBreakHyphen/>
        <w:t>quality verbal interactions—key drivers of early language and cognitive growth.</w:t>
      </w:r>
    </w:p>
    <w:p w14:paraId="0776887B" w14:textId="77777777" w:rsidR="00104E66" w:rsidRPr="00E57F17" w:rsidRDefault="00104E66" w:rsidP="00104E66">
      <w:r w:rsidRPr="00E57F17">
        <w:t>Longitudinal evidence from Bratsch</w:t>
      </w:r>
      <w:r w:rsidRPr="00E57F17">
        <w:noBreakHyphen/>
        <w:t>Hines et</w:t>
      </w:r>
      <w:r w:rsidRPr="00E57F17">
        <w:rPr>
          <w:rFonts w:ascii="Arial" w:hAnsi="Arial" w:cs="Arial"/>
        </w:rPr>
        <w:t> </w:t>
      </w:r>
      <w:r w:rsidRPr="00E57F17">
        <w:t xml:space="preserve">al. (2020) demonstrates that rich caregiver–child verbal interactions between 6 and 36 months predict stronger language skills at 36 months, which in turn mediate higher academic and social skills in kindergarten. Importantly, stability of caregiving independently predicted kindergarten social skills, indicating that continuity amplifies the effects of instructional quality rather than merely correlating with it. Educators who stay longer are better positioned to engage in cumulative, developmentally aligned instruction rather than repetitive or fragmented teaching caused by staff turnover. </w:t>
      </w:r>
    </w:p>
    <w:p w14:paraId="695E9E3D" w14:textId="77777777" w:rsidR="00104E66" w:rsidRPr="00E57F17" w:rsidRDefault="00104E66" w:rsidP="00104E66">
      <w:r w:rsidRPr="00E57F17">
        <w:t>Conversely, high turnover limits educators’ ability to individualize instruction, track progress over time, and build upon prior learning experiences. Mixed</w:t>
      </w:r>
      <w:r w:rsidRPr="00E57F17">
        <w:noBreakHyphen/>
        <w:t xml:space="preserve">methods studies show that turnover increases cognitive load for children by making expectations, language norms, and instructional approaches unpredictable, which disproportionately affects children in the earliest stages of language acquisition. </w:t>
      </w:r>
    </w:p>
    <w:p w14:paraId="6DE975E8" w14:textId="77777777" w:rsidR="00104E66" w:rsidRPr="00E57F17" w:rsidRDefault="00104E66" w:rsidP="00104E66">
      <w:r w:rsidRPr="00E57F17">
        <w:t>3. Higher School Readiness</w:t>
      </w:r>
    </w:p>
    <w:p w14:paraId="305D26C4" w14:textId="77777777" w:rsidR="00104E66" w:rsidRPr="00E57F17" w:rsidRDefault="00104E66" w:rsidP="00104E66">
      <w:r w:rsidRPr="00E57F17">
        <w:t>Longitudinal studies consistently link stability to:</w:t>
      </w:r>
    </w:p>
    <w:p w14:paraId="00A4ECD2" w14:textId="77777777" w:rsidR="00104E66" w:rsidRPr="00E57F17" w:rsidRDefault="00104E66" w:rsidP="002B7555">
      <w:pPr>
        <w:pStyle w:val="ListParagraph"/>
        <w:numPr>
          <w:ilvl w:val="0"/>
          <w:numId w:val="3"/>
        </w:numPr>
      </w:pPr>
      <w:r w:rsidRPr="00E57F17">
        <w:t>Higher literacy</w:t>
      </w:r>
    </w:p>
    <w:p w14:paraId="521DEFEE" w14:textId="77777777" w:rsidR="00104E66" w:rsidRPr="00E57F17" w:rsidRDefault="00104E66" w:rsidP="002B7555">
      <w:pPr>
        <w:pStyle w:val="ListParagraph"/>
        <w:numPr>
          <w:ilvl w:val="0"/>
          <w:numId w:val="3"/>
        </w:numPr>
      </w:pPr>
      <w:r w:rsidRPr="00E57F17">
        <w:t>Stronger math skills</w:t>
      </w:r>
    </w:p>
    <w:p w14:paraId="618A6DC7" w14:textId="77777777" w:rsidR="00104E66" w:rsidRPr="00E57F17" w:rsidRDefault="00104E66" w:rsidP="002B7555">
      <w:pPr>
        <w:pStyle w:val="ListParagraph"/>
        <w:numPr>
          <w:ilvl w:val="0"/>
          <w:numId w:val="3"/>
        </w:numPr>
      </w:pPr>
      <w:r w:rsidRPr="00E57F17">
        <w:t>Better self-regulation</w:t>
      </w:r>
    </w:p>
    <w:p w14:paraId="16A25B50" w14:textId="77777777" w:rsidR="00104E66" w:rsidRPr="00E57F17" w:rsidRDefault="00104E66" w:rsidP="002B7555">
      <w:pPr>
        <w:pStyle w:val="ListParagraph"/>
        <w:numPr>
          <w:ilvl w:val="0"/>
          <w:numId w:val="3"/>
        </w:numPr>
      </w:pPr>
      <w:r w:rsidRPr="00E57F17">
        <w:t>Fewer behavioral disruptions</w:t>
      </w:r>
    </w:p>
    <w:p w14:paraId="6D95D4BE" w14:textId="77777777" w:rsidR="00104E66" w:rsidRPr="00E57F17" w:rsidRDefault="00104E66" w:rsidP="00104E66">
      <w:r w:rsidRPr="00E57F17">
        <w:t>School readiness is not solely the product of curriculum exposure but emerges from a combination of emotional regulation, sustained learning relationships, and instructional continuity. A robust body of longitudinal research demonstrates that workforce stability is associated with higher literacy and math achievement, better self</w:t>
      </w:r>
      <w:r w:rsidRPr="00E57F17">
        <w:noBreakHyphen/>
        <w:t xml:space="preserve">regulation, and fewer behavioral disruptions at kindergarten entry. These outcomes are especially pronounced in </w:t>
      </w:r>
      <w:r w:rsidRPr="00E57F17">
        <w:lastRenderedPageBreak/>
        <w:t>settings serving children from families with lower incomes, where stable early learning environments may buffer against external stressors.</w:t>
      </w:r>
    </w:p>
    <w:p w14:paraId="280F5E35" w14:textId="77777777" w:rsidR="00104E66" w:rsidRPr="00E57F17" w:rsidRDefault="00104E66" w:rsidP="00104E66">
      <w:r w:rsidRPr="00E57F17">
        <w:t>National Head Start data provide the first causal estimates of the effect of within</w:t>
      </w:r>
      <w:r w:rsidRPr="00E57F17">
        <w:noBreakHyphen/>
        <w:t>year teacher turnover on children’s readiness outcomes. Markowitz (2024) found that children who experienced mid</w:t>
      </w:r>
      <w:r w:rsidRPr="00E57F17">
        <w:noBreakHyphen/>
        <w:t xml:space="preserve">year teacher turnover showed significantly lower language, literacy, and socioemotional scores by the end of the program year, with effects strongest in classrooms serving children facing economic disadvantage. This research makes clear that continuity of care is not merely a quality indicator but a determinant of measurable readiness outcomes. </w:t>
      </w:r>
    </w:p>
    <w:p w14:paraId="709DE15B" w14:textId="77777777" w:rsidR="00104E66" w:rsidRPr="00E57F17" w:rsidRDefault="00104E66" w:rsidP="00104E66">
      <w:r w:rsidRPr="00E57F17">
        <w:t xml:space="preserve">Additional longitudinal studies consistently link stable teacher–child relationships to stronger early literacy, more advanced numeracy skills, improved executive functioning, and reduced behavioral challenges. These capacities collectively form the foundation for successful transitions into formal schooling and sustained academic engagement in later grades. </w:t>
      </w:r>
    </w:p>
    <w:p w14:paraId="73DB528C" w14:textId="77777777" w:rsidR="00104E66" w:rsidRPr="00E57F17" w:rsidRDefault="00104E66" w:rsidP="00104E66"/>
    <w:p w14:paraId="3FFAB3AE" w14:textId="77777777" w:rsidR="00104E66" w:rsidRPr="00E57F17" w:rsidRDefault="00104E66" w:rsidP="00104E66">
      <w:r w:rsidRPr="00E57F17">
        <w:t>4. Implementation of High-Quality Curriculum</w:t>
      </w:r>
    </w:p>
    <w:p w14:paraId="0FCBE691" w14:textId="77777777" w:rsidR="00104E66" w:rsidRPr="00E57F17" w:rsidRDefault="00104E66" w:rsidP="00104E66">
      <w:r w:rsidRPr="00E57F17">
        <w:t>Programs with low turnover are more likely to</w:t>
      </w:r>
    </w:p>
    <w:p w14:paraId="1C58FFAD" w14:textId="77777777" w:rsidR="00104E66" w:rsidRPr="00E57F17" w:rsidRDefault="00104E66" w:rsidP="007B2120">
      <w:pPr>
        <w:pStyle w:val="ListParagraph"/>
        <w:numPr>
          <w:ilvl w:val="0"/>
          <w:numId w:val="4"/>
        </w:numPr>
      </w:pPr>
      <w:r w:rsidRPr="00E57F17">
        <w:t>Implement curricula with fidelity</w:t>
      </w:r>
    </w:p>
    <w:p w14:paraId="1D554FC4" w14:textId="77777777" w:rsidR="00104E66" w:rsidRPr="00E57F17" w:rsidRDefault="00104E66" w:rsidP="007B2120">
      <w:pPr>
        <w:pStyle w:val="ListParagraph"/>
        <w:numPr>
          <w:ilvl w:val="0"/>
          <w:numId w:val="4"/>
        </w:numPr>
      </w:pPr>
      <w:r w:rsidRPr="00E57F17">
        <w:t>Maintain consistent routines</w:t>
      </w:r>
    </w:p>
    <w:p w14:paraId="6CE1C35B" w14:textId="77777777" w:rsidR="00104E66" w:rsidRPr="00E57F17" w:rsidRDefault="00104E66" w:rsidP="007B2120">
      <w:pPr>
        <w:pStyle w:val="ListParagraph"/>
        <w:numPr>
          <w:ilvl w:val="0"/>
          <w:numId w:val="4"/>
        </w:numPr>
      </w:pPr>
      <w:r w:rsidRPr="00E57F17">
        <w:t>Build strong family partnerships</w:t>
      </w:r>
    </w:p>
    <w:p w14:paraId="2C1059E5" w14:textId="77777777" w:rsidR="00104E66" w:rsidRPr="00E57F17" w:rsidRDefault="00104E66" w:rsidP="007B2120">
      <w:pPr>
        <w:pStyle w:val="ListParagraph"/>
        <w:numPr>
          <w:ilvl w:val="0"/>
          <w:numId w:val="4"/>
        </w:numPr>
      </w:pPr>
      <w:r w:rsidRPr="00E57F17">
        <w:t>Engage in continuous improvement cycles</w:t>
      </w:r>
    </w:p>
    <w:p w14:paraId="0A5565F6" w14:textId="77777777" w:rsidR="00104E66" w:rsidRPr="00E57F17" w:rsidRDefault="00104E66" w:rsidP="00104E66">
      <w:r w:rsidRPr="00E57F17">
        <w:t xml:space="preserve">Turnover disrupts </w:t>
      </w:r>
      <w:proofErr w:type="gramStart"/>
      <w:r w:rsidRPr="00E57F17">
        <w:t>all of</w:t>
      </w:r>
      <w:proofErr w:type="gramEnd"/>
      <w:r w:rsidRPr="00E57F17">
        <w:t xml:space="preserve"> these components.</w:t>
      </w:r>
    </w:p>
    <w:p w14:paraId="09353196" w14:textId="77777777" w:rsidR="00104E66" w:rsidRPr="00E57F17" w:rsidRDefault="00104E66" w:rsidP="00104E66">
      <w:r w:rsidRPr="00E57F17">
        <w:t>High</w:t>
      </w:r>
      <w:r w:rsidRPr="00E57F17">
        <w:noBreakHyphen/>
        <w:t>quality curricula depend on consistency for effective implementation. Programs with low staff turnover are significantly more likely to implement curricula with fidelity, maintain predictable routines, engage meaningfully with families, and participate in continuous quality improvement processes. Educators who remain in programs long enough to receive training, coaching, and feedback are better able to align instructional practices with curriculum goals and child assessment data.</w:t>
      </w:r>
    </w:p>
    <w:p w14:paraId="58BC0934" w14:textId="77777777" w:rsidR="00104E66" w:rsidRPr="00E57F17" w:rsidRDefault="00104E66" w:rsidP="00104E66">
      <w:r w:rsidRPr="00E57F17">
        <w:t>Research documents that frequent turnover disrupts daily routines, fragments instructional planning, and undermines collective staff knowledge, resulting in lower overall classroom quality. Cassidy et</w:t>
      </w:r>
      <w:r w:rsidRPr="00E57F17">
        <w:rPr>
          <w:rFonts w:ascii="Arial" w:hAnsi="Arial" w:cs="Arial"/>
        </w:rPr>
        <w:t> </w:t>
      </w:r>
      <w:r w:rsidRPr="00E57F17">
        <w:t xml:space="preserve">al. (2011) found that turnover produced ongoing disruptions that affected emotional climate, instructional coherence, and teacher collaboration, with negative implications for children’s learning experiences. Programs </w:t>
      </w:r>
      <w:r w:rsidRPr="00E57F17">
        <w:lastRenderedPageBreak/>
        <w:t xml:space="preserve">experiencing high turnover often struggle to sustain professional development investments, as trained staff leave before practices can be fully embedded. </w:t>
      </w:r>
    </w:p>
    <w:p w14:paraId="40B9F532" w14:textId="77777777" w:rsidR="00104E66" w:rsidRPr="00E57F17" w:rsidRDefault="00104E66" w:rsidP="00104E66">
      <w:r w:rsidRPr="00E57F17">
        <w:t xml:space="preserve">Stable staffing also strengthens family partnerships—an essential but often overlooked component of curriculum effectiveness. Consistent educators are more likely to build trust with families, communicate effectively about children’s progress, and align learning experiences across home and school contexts. Conversely, turnover fractures these relationships and weakens continuity between children’s learning environments. </w:t>
      </w:r>
    </w:p>
    <w:p w14:paraId="390048D2" w14:textId="77777777" w:rsidR="00104E66" w:rsidRPr="00E57F17" w:rsidRDefault="00104E66" w:rsidP="00104E66"/>
    <w:p w14:paraId="5AF668F8" w14:textId="77777777" w:rsidR="00104E66" w:rsidRPr="00E57F17" w:rsidRDefault="00104E66" w:rsidP="00104E66"/>
    <w:p w14:paraId="3A25D347" w14:textId="77777777" w:rsidR="00104E66" w:rsidRPr="00E57F17" w:rsidRDefault="00104E66" w:rsidP="00104E66">
      <w:pPr>
        <w:rPr>
          <w:u w:val="single"/>
        </w:rPr>
      </w:pPr>
      <w:r w:rsidRPr="00E57F17">
        <w:rPr>
          <w:u w:val="single"/>
        </w:rPr>
        <w:t>Policy Implications and Recommendations</w:t>
      </w:r>
    </w:p>
    <w:p w14:paraId="582714D2" w14:textId="77777777" w:rsidR="00104E66" w:rsidRPr="00E57F17" w:rsidRDefault="00104E66" w:rsidP="00104E66">
      <w:r w:rsidRPr="00E57F17">
        <w:t>Below is an expanded, research-strengthened policy section.</w:t>
      </w:r>
    </w:p>
    <w:p w14:paraId="6E56A7CF" w14:textId="77777777" w:rsidR="00104E66" w:rsidRPr="00E57F17" w:rsidRDefault="00104E66" w:rsidP="00104E66"/>
    <w:p w14:paraId="0D70A325" w14:textId="77777777" w:rsidR="00104E66" w:rsidRPr="00E57F17" w:rsidRDefault="00104E66" w:rsidP="00104E66">
      <w:r w:rsidRPr="00E57F17">
        <w:t>1. Make Compensation and Education Incentives Continuous, Not Episodic</w:t>
      </w:r>
    </w:p>
    <w:p w14:paraId="352F6822" w14:textId="77777777" w:rsidR="00104E66" w:rsidRPr="00E57F17" w:rsidRDefault="00104E66" w:rsidP="00104E66">
      <w:r w:rsidRPr="00E57F17">
        <w:t>National evidence (Hall et al., 2024; Urban Institute, 2024) shows:</w:t>
      </w:r>
    </w:p>
    <w:p w14:paraId="76BAA1D6" w14:textId="77777777" w:rsidR="00104E66" w:rsidRPr="00E57F17" w:rsidRDefault="00104E66" w:rsidP="00CE37EE">
      <w:pPr>
        <w:pStyle w:val="ListParagraph"/>
        <w:numPr>
          <w:ilvl w:val="0"/>
          <w:numId w:val="5"/>
        </w:numPr>
      </w:pPr>
      <w:r w:rsidRPr="00E57F17">
        <w:t>Higher wages reduce vacancies and turnover</w:t>
      </w:r>
    </w:p>
    <w:p w14:paraId="70DF8580" w14:textId="77777777" w:rsidR="00104E66" w:rsidRPr="00E57F17" w:rsidRDefault="00104E66" w:rsidP="00CE37EE">
      <w:pPr>
        <w:pStyle w:val="ListParagraph"/>
        <w:numPr>
          <w:ilvl w:val="0"/>
          <w:numId w:val="5"/>
        </w:numPr>
      </w:pPr>
      <w:r w:rsidRPr="00E57F17">
        <w:t>Programs with higher compensation hire more qualified teachers</w:t>
      </w:r>
    </w:p>
    <w:p w14:paraId="4A117BF5" w14:textId="77777777" w:rsidR="00104E66" w:rsidRPr="00E57F17" w:rsidRDefault="00104E66" w:rsidP="00CE37EE">
      <w:pPr>
        <w:pStyle w:val="ListParagraph"/>
        <w:numPr>
          <w:ilvl w:val="0"/>
          <w:numId w:val="5"/>
        </w:numPr>
      </w:pPr>
      <w:r w:rsidRPr="00E57F17">
        <w:t>Low-wage centers are significantly more likely to turn families away due to staffing shortages</w:t>
      </w:r>
    </w:p>
    <w:p w14:paraId="1BCD349B" w14:textId="77777777" w:rsidR="00104E66" w:rsidRPr="00E57F17" w:rsidRDefault="00104E66" w:rsidP="00104E66">
      <w:r w:rsidRPr="00E57F17">
        <w:t>Ohio’s POWER model aligns with these findings by:</w:t>
      </w:r>
    </w:p>
    <w:p w14:paraId="2A67E68B" w14:textId="77777777" w:rsidR="00104E66" w:rsidRPr="00E57F17" w:rsidRDefault="00104E66" w:rsidP="00CE37EE">
      <w:pPr>
        <w:pStyle w:val="ListParagraph"/>
        <w:numPr>
          <w:ilvl w:val="0"/>
          <w:numId w:val="6"/>
        </w:numPr>
      </w:pPr>
      <w:r w:rsidRPr="00E57F17">
        <w:t>Offering multi</w:t>
      </w:r>
      <w:r w:rsidRPr="00E57F17">
        <w:noBreakHyphen/>
        <w:t>year wage supplements</w:t>
      </w:r>
    </w:p>
    <w:p w14:paraId="6F0419DE" w14:textId="77777777" w:rsidR="00104E66" w:rsidRPr="00E57F17" w:rsidRDefault="00104E66" w:rsidP="00CE37EE">
      <w:pPr>
        <w:pStyle w:val="ListParagraph"/>
        <w:numPr>
          <w:ilvl w:val="0"/>
          <w:numId w:val="6"/>
        </w:numPr>
      </w:pPr>
      <w:r w:rsidRPr="00E57F17">
        <w:t>Tying payments to experience and education</w:t>
      </w:r>
    </w:p>
    <w:p w14:paraId="0B613C68" w14:textId="77777777" w:rsidR="00104E66" w:rsidRPr="00E57F17" w:rsidRDefault="00104E66" w:rsidP="00CE37EE">
      <w:pPr>
        <w:pStyle w:val="ListParagraph"/>
        <w:numPr>
          <w:ilvl w:val="0"/>
          <w:numId w:val="6"/>
        </w:numPr>
      </w:pPr>
      <w:r w:rsidRPr="00E57F17">
        <w:t>Incentivizing longer-term retention</w:t>
      </w:r>
    </w:p>
    <w:p w14:paraId="2C5724D8" w14:textId="77777777" w:rsidR="00104E66" w:rsidRPr="00E57F17" w:rsidRDefault="00104E66" w:rsidP="00104E66"/>
    <w:p w14:paraId="262D3BC0" w14:textId="77777777" w:rsidR="00104E66" w:rsidRPr="00E57F17" w:rsidRDefault="00104E66" w:rsidP="00104E66">
      <w:r w:rsidRPr="00E57F17">
        <w:t>2. Scale Proven Ohio Mechanisms (TEACH and POWER) to Meet Demand</w:t>
      </w:r>
    </w:p>
    <w:p w14:paraId="305A00F4" w14:textId="77777777" w:rsidR="00104E66" w:rsidRPr="00E57F17" w:rsidRDefault="00104E66" w:rsidP="00104E66">
      <w:r w:rsidRPr="00E57F17">
        <w:t>Given TEACH and POWER’s strong ROI, Ohio should:</w:t>
      </w:r>
    </w:p>
    <w:p w14:paraId="07E36012" w14:textId="77777777" w:rsidR="00104E66" w:rsidRPr="00E57F17" w:rsidRDefault="00104E66" w:rsidP="00CE37EE">
      <w:pPr>
        <w:pStyle w:val="ListParagraph"/>
        <w:numPr>
          <w:ilvl w:val="0"/>
          <w:numId w:val="7"/>
        </w:numPr>
      </w:pPr>
      <w:r w:rsidRPr="00E57F17">
        <w:t>Eliminate waitlists through sustained funding</w:t>
      </w:r>
    </w:p>
    <w:p w14:paraId="38E93455" w14:textId="77777777" w:rsidR="00104E66" w:rsidRPr="00E57F17" w:rsidRDefault="00104E66" w:rsidP="00CE37EE">
      <w:pPr>
        <w:pStyle w:val="ListParagraph"/>
        <w:numPr>
          <w:ilvl w:val="0"/>
          <w:numId w:val="7"/>
        </w:numPr>
      </w:pPr>
      <w:r w:rsidRPr="00E57F17">
        <w:t>Create automatic eligibility for high</w:t>
      </w:r>
      <w:r w:rsidRPr="00E57F17">
        <w:noBreakHyphen/>
        <w:t>vacancy regions</w:t>
      </w:r>
    </w:p>
    <w:p w14:paraId="658977A5" w14:textId="77777777" w:rsidR="00104E66" w:rsidRPr="00E57F17" w:rsidRDefault="00104E66" w:rsidP="00CE37EE">
      <w:pPr>
        <w:pStyle w:val="ListParagraph"/>
        <w:numPr>
          <w:ilvl w:val="0"/>
          <w:numId w:val="7"/>
        </w:numPr>
      </w:pPr>
      <w:r w:rsidRPr="00E57F17">
        <w:t xml:space="preserve">Integrate incentive structures into Step Up </w:t>
      </w:r>
      <w:proofErr w:type="gramStart"/>
      <w:r w:rsidRPr="00E57F17">
        <w:t>To</w:t>
      </w:r>
      <w:proofErr w:type="gramEnd"/>
      <w:r w:rsidRPr="00E57F17">
        <w:t xml:space="preserve"> Quality</w:t>
      </w:r>
    </w:p>
    <w:p w14:paraId="65BFDBD1" w14:textId="77777777" w:rsidR="00104E66" w:rsidRPr="00E57F17" w:rsidRDefault="00104E66" w:rsidP="00CE37EE">
      <w:pPr>
        <w:pStyle w:val="ListParagraph"/>
        <w:numPr>
          <w:ilvl w:val="0"/>
          <w:numId w:val="7"/>
        </w:numPr>
      </w:pPr>
      <w:r w:rsidRPr="00E57F17">
        <w:t>Guarantee multi</w:t>
      </w:r>
      <w:r w:rsidRPr="00E57F17">
        <w:noBreakHyphen/>
        <w:t>year funding cycles</w:t>
      </w:r>
    </w:p>
    <w:p w14:paraId="0C60C9D4" w14:textId="77777777" w:rsidR="00104E66" w:rsidRPr="00E57F17" w:rsidRDefault="00104E66" w:rsidP="00104E66">
      <w:r w:rsidRPr="00E57F17">
        <w:t xml:space="preserve">These programs are already </w:t>
      </w:r>
      <w:proofErr w:type="gramStart"/>
      <w:r w:rsidRPr="00E57F17">
        <w:t>working—scaling</w:t>
      </w:r>
      <w:proofErr w:type="gramEnd"/>
      <w:r w:rsidRPr="00E57F17">
        <w:t xml:space="preserve"> is the logical next step.</w:t>
      </w:r>
    </w:p>
    <w:p w14:paraId="782B88E1" w14:textId="77777777" w:rsidR="00104E66" w:rsidRPr="00E57F17" w:rsidRDefault="00104E66" w:rsidP="00104E66"/>
    <w:p w14:paraId="127A4E3C" w14:textId="3B950B9C" w:rsidR="008F2D81" w:rsidRPr="00E57F17" w:rsidRDefault="008F2D81" w:rsidP="00104E66">
      <w:r w:rsidRPr="00E57F17">
        <w:t>3. Enact the Workforce Investment Now (WIN) bill, H</w:t>
      </w:r>
      <w:r w:rsidR="00B458FE">
        <w:t>B</w:t>
      </w:r>
      <w:r w:rsidRPr="00E57F17">
        <w:t xml:space="preserve"> 484</w:t>
      </w:r>
    </w:p>
    <w:p w14:paraId="29C3154C" w14:textId="27C6F8AE" w:rsidR="005F03A6" w:rsidRPr="00B458FE" w:rsidRDefault="005F03A6" w:rsidP="00B458FE">
      <w:r w:rsidRPr="00B458FE">
        <w:t xml:space="preserve">Ohio should enact and evaluate the Workforce Investment Now (WIN) for Child Care pilot as a targeted workforce retention strategy. The proposed policy would make qualifying </w:t>
      </w:r>
      <w:proofErr w:type="gramStart"/>
      <w:r w:rsidRPr="00B458FE">
        <w:t>child care</w:t>
      </w:r>
      <w:proofErr w:type="gramEnd"/>
      <w:r w:rsidRPr="00B458FE">
        <w:t xml:space="preserve"> staff categorically eligible for Publicly Funded Child Care (PFCC) regardless of household income, provided the staff member works at least 20 hours per week in an eligible </w:t>
      </w:r>
      <w:proofErr w:type="gramStart"/>
      <w:r w:rsidRPr="00B458FE">
        <w:t>child care</w:t>
      </w:r>
      <w:proofErr w:type="gramEnd"/>
      <w:r w:rsidRPr="00B458FE">
        <w:t xml:space="preserve"> setting. </w:t>
      </w:r>
    </w:p>
    <w:p w14:paraId="41D3223B" w14:textId="77777777" w:rsidR="001F5120" w:rsidRPr="00B458FE" w:rsidRDefault="001F5120" w:rsidP="00B458FE">
      <w:r w:rsidRPr="00B458FE">
        <w:t xml:space="preserve">Additional national analysis of the </w:t>
      </w:r>
      <w:hyperlink r:id="rId5" w:tgtFrame="_blank" w:history="1">
        <w:r w:rsidRPr="00B458FE">
          <w:rPr>
            <w:rStyle w:val="Hyperlink"/>
          </w:rPr>
          <w:t>Kentucky</w:t>
        </w:r>
      </w:hyperlink>
      <w:r w:rsidRPr="00B458FE">
        <w:t xml:space="preserve"> model reinforces this point, estimating that each early educator receiving a </w:t>
      </w:r>
      <w:proofErr w:type="gramStart"/>
      <w:r w:rsidRPr="00B458FE">
        <w:t>child care</w:t>
      </w:r>
      <w:proofErr w:type="gramEnd"/>
      <w:r w:rsidRPr="00B458FE">
        <w:t xml:space="preserve"> subsidy can help as many as 13 other children under age six benefit from stable enrollment in that educator’s classroom or group. In other words, the retention value of free </w:t>
      </w:r>
      <w:proofErr w:type="gramStart"/>
      <w:r w:rsidRPr="00B458FE">
        <w:t>child care</w:t>
      </w:r>
      <w:proofErr w:type="gramEnd"/>
      <w:r w:rsidRPr="00B458FE">
        <w:t xml:space="preserve"> is not limited to the individual employee; it multiplies across classrooms, programs, and local labor markets.</w:t>
      </w:r>
    </w:p>
    <w:p w14:paraId="293E74C5" w14:textId="63DD0E7A" w:rsidR="00175DC2" w:rsidRPr="00B458FE" w:rsidRDefault="00175DC2" w:rsidP="00B458FE">
      <w:r w:rsidRPr="00B458FE">
        <w:t>T</w:t>
      </w:r>
      <w:r w:rsidRPr="00B458FE">
        <w:t xml:space="preserve">he retention logic is especially strong because free or </w:t>
      </w:r>
      <w:proofErr w:type="gramStart"/>
      <w:r w:rsidRPr="00B458FE">
        <w:t>no</w:t>
      </w:r>
      <w:proofErr w:type="gramEnd"/>
      <w:r w:rsidRPr="00B458FE">
        <w:t xml:space="preserve">-cost </w:t>
      </w:r>
      <w:proofErr w:type="gramStart"/>
      <w:r w:rsidRPr="00B458FE">
        <w:t>child care</w:t>
      </w:r>
      <w:proofErr w:type="gramEnd"/>
      <w:r w:rsidRPr="00B458FE">
        <w:t xml:space="preserve"> functions as a substantial, work-linked benefit without requiring providers to absorb the full cost through already-thin operating margins. For </w:t>
      </w:r>
      <w:proofErr w:type="gramStart"/>
      <w:r w:rsidRPr="00B458FE">
        <w:t>child care</w:t>
      </w:r>
      <w:proofErr w:type="gramEnd"/>
      <w:r w:rsidRPr="00B458FE">
        <w:t xml:space="preserve"> workers who are parents, the benefit increases the real value of compensation, reduces pressure to leave the field for higher-wage work</w:t>
      </w:r>
    </w:p>
    <w:p w14:paraId="1791F6F0" w14:textId="77777777" w:rsidR="008F2D81" w:rsidRPr="00E57F17" w:rsidRDefault="008F2D81" w:rsidP="00104E66"/>
    <w:p w14:paraId="392F08CA" w14:textId="0689CDEE" w:rsidR="00104E66" w:rsidRPr="00E57F17" w:rsidRDefault="008F2D81" w:rsidP="00104E66">
      <w:r w:rsidRPr="00E57F17">
        <w:t>4</w:t>
      </w:r>
      <w:r w:rsidR="00104E66" w:rsidRPr="00E57F17">
        <w:t>. Protect Continuity in Infant–Toddler Classrooms</w:t>
      </w:r>
    </w:p>
    <w:p w14:paraId="5C70FA55" w14:textId="77777777" w:rsidR="00104E66" w:rsidRPr="00E57F17" w:rsidRDefault="00104E66" w:rsidP="00104E66">
      <w:r w:rsidRPr="00E57F17">
        <w:t>Research strongly supports:</w:t>
      </w:r>
    </w:p>
    <w:p w14:paraId="75407D9F" w14:textId="77777777" w:rsidR="00104E66" w:rsidRPr="00E57F17" w:rsidRDefault="00104E66" w:rsidP="00CE37EE">
      <w:pPr>
        <w:pStyle w:val="ListParagraph"/>
        <w:numPr>
          <w:ilvl w:val="0"/>
          <w:numId w:val="8"/>
        </w:numPr>
      </w:pPr>
      <w:r w:rsidRPr="00E57F17">
        <w:t>Primary caregiving</w:t>
      </w:r>
    </w:p>
    <w:p w14:paraId="4620286F" w14:textId="77777777" w:rsidR="00104E66" w:rsidRPr="00E57F17" w:rsidRDefault="00104E66" w:rsidP="00CE37EE">
      <w:pPr>
        <w:pStyle w:val="ListParagraph"/>
        <w:numPr>
          <w:ilvl w:val="0"/>
          <w:numId w:val="8"/>
        </w:numPr>
      </w:pPr>
      <w:r w:rsidRPr="00E57F17">
        <w:t>Multi</w:t>
      </w:r>
      <w:r w:rsidRPr="00E57F17">
        <w:noBreakHyphen/>
        <w:t>year looping</w:t>
      </w:r>
    </w:p>
    <w:p w14:paraId="5ABC04E9" w14:textId="77777777" w:rsidR="00104E66" w:rsidRPr="00E57F17" w:rsidRDefault="00104E66" w:rsidP="00CE37EE">
      <w:pPr>
        <w:pStyle w:val="ListParagraph"/>
        <w:numPr>
          <w:ilvl w:val="0"/>
          <w:numId w:val="8"/>
        </w:numPr>
      </w:pPr>
      <w:r w:rsidRPr="00E57F17">
        <w:t>Small, consistent care groups</w:t>
      </w:r>
    </w:p>
    <w:p w14:paraId="314BAED8" w14:textId="77777777" w:rsidR="00104E66" w:rsidRPr="00E57F17" w:rsidRDefault="00104E66" w:rsidP="00104E66">
      <w:r w:rsidRPr="00E57F17">
        <w:t>Cryer, Hurwitz, &amp; Wolery (2003) show that infants and toddlers suffer disproportionate developmental harm from high turnover.</w:t>
      </w:r>
    </w:p>
    <w:p w14:paraId="3F7F6218" w14:textId="77777777" w:rsidR="00104E66" w:rsidRPr="00E57F17" w:rsidRDefault="00104E66" w:rsidP="00104E66"/>
    <w:p w14:paraId="14E31374" w14:textId="7A2A11B8" w:rsidR="00104E66" w:rsidRPr="00E57F17" w:rsidRDefault="008F2D81" w:rsidP="00104E66">
      <w:r w:rsidRPr="00E57F17">
        <w:t>5</w:t>
      </w:r>
      <w:r w:rsidR="00104E66" w:rsidRPr="00E57F17">
        <w:t xml:space="preserve">. Integrate Developmental Assets </w:t>
      </w:r>
      <w:proofErr w:type="gramStart"/>
      <w:r w:rsidR="00104E66" w:rsidRPr="00E57F17">
        <w:t>Into</w:t>
      </w:r>
      <w:proofErr w:type="gramEnd"/>
      <w:r w:rsidR="00104E66" w:rsidRPr="00E57F17">
        <w:t xml:space="preserve"> Quality Standards and Coaching</w:t>
      </w:r>
    </w:p>
    <w:p w14:paraId="666E0FB9" w14:textId="77777777" w:rsidR="00104E66" w:rsidRPr="00E57F17" w:rsidRDefault="00104E66" w:rsidP="00104E66">
      <w:r w:rsidRPr="00E57F17">
        <w:t>The Search Institute’s frameworks provide:</w:t>
      </w:r>
    </w:p>
    <w:p w14:paraId="275E0A18" w14:textId="77777777" w:rsidR="00104E66" w:rsidRPr="00E57F17" w:rsidRDefault="00104E66" w:rsidP="00CE37EE">
      <w:pPr>
        <w:pStyle w:val="ListParagraph"/>
        <w:numPr>
          <w:ilvl w:val="0"/>
          <w:numId w:val="10"/>
        </w:numPr>
      </w:pPr>
      <w:r w:rsidRPr="00E57F17">
        <w:t>A relational foundation for SUTQ coaching</w:t>
      </w:r>
    </w:p>
    <w:p w14:paraId="5DB6050C" w14:textId="77777777" w:rsidR="00104E66" w:rsidRPr="00E57F17" w:rsidRDefault="00104E66" w:rsidP="00CE37EE">
      <w:pPr>
        <w:pStyle w:val="ListParagraph"/>
        <w:numPr>
          <w:ilvl w:val="0"/>
          <w:numId w:val="10"/>
        </w:numPr>
      </w:pPr>
      <w:r w:rsidRPr="00E57F17">
        <w:t>Evidence-based strategies to strengthen emotional climate</w:t>
      </w:r>
    </w:p>
    <w:p w14:paraId="2AEC7E65" w14:textId="77777777" w:rsidR="00104E66" w:rsidRPr="00E57F17" w:rsidRDefault="00104E66" w:rsidP="00CE37EE">
      <w:pPr>
        <w:pStyle w:val="ListParagraph"/>
        <w:numPr>
          <w:ilvl w:val="0"/>
          <w:numId w:val="10"/>
        </w:numPr>
      </w:pPr>
      <w:r w:rsidRPr="00E57F17">
        <w:t>Measurement tools to track relational growth</w:t>
      </w:r>
    </w:p>
    <w:p w14:paraId="4DB9A4C9" w14:textId="77777777" w:rsidR="00104E66" w:rsidRPr="00E57F17" w:rsidRDefault="00104E66" w:rsidP="00CE37EE">
      <w:pPr>
        <w:pStyle w:val="ListParagraph"/>
        <w:numPr>
          <w:ilvl w:val="0"/>
          <w:numId w:val="10"/>
        </w:numPr>
      </w:pPr>
      <w:r w:rsidRPr="00E57F17">
        <w:lastRenderedPageBreak/>
        <w:t>Embedding these tools in coaching strengthens continuity and quality simultaneously.</w:t>
      </w:r>
    </w:p>
    <w:p w14:paraId="65F3806B" w14:textId="77777777" w:rsidR="00104E66" w:rsidRPr="00E57F17" w:rsidRDefault="00104E66" w:rsidP="00104E66"/>
    <w:p w14:paraId="49927B10" w14:textId="27495D13" w:rsidR="00104E66" w:rsidRPr="00E57F17" w:rsidRDefault="008F2D81" w:rsidP="00104E66">
      <w:r w:rsidRPr="00E57F17">
        <w:t>6</w:t>
      </w:r>
      <w:r w:rsidR="00104E66" w:rsidRPr="00E57F17">
        <w:t>. Model the Full Employer Cost of Turnover</w:t>
      </w:r>
    </w:p>
    <w:p w14:paraId="1387E7C3" w14:textId="77777777" w:rsidR="00104E66" w:rsidRPr="00E57F17" w:rsidRDefault="00104E66" w:rsidP="00104E66">
      <w:r w:rsidRPr="00E57F17">
        <w:t>Using OCCRRA’s internal analytics, turnover costs are estimated at:</w:t>
      </w:r>
    </w:p>
    <w:p w14:paraId="5FD2DA3C" w14:textId="77777777" w:rsidR="00104E66" w:rsidRPr="00E57F17" w:rsidRDefault="00104E66" w:rsidP="00CE37EE">
      <w:pPr>
        <w:pStyle w:val="ListParagraph"/>
        <w:numPr>
          <w:ilvl w:val="0"/>
          <w:numId w:val="11"/>
        </w:numPr>
      </w:pPr>
      <w:r w:rsidRPr="00E57F17">
        <w:t>One-third of annual wages per educator lost</w:t>
      </w:r>
    </w:p>
    <w:p w14:paraId="370B2B0E" w14:textId="77777777" w:rsidR="00104E66" w:rsidRPr="00E57F17" w:rsidRDefault="00104E66" w:rsidP="00CE37EE">
      <w:pPr>
        <w:pStyle w:val="ListParagraph"/>
        <w:numPr>
          <w:ilvl w:val="0"/>
          <w:numId w:val="11"/>
        </w:numPr>
      </w:pPr>
      <w:r w:rsidRPr="00E57F17">
        <w:t>Including onboarding, training, recruitment, and productivity loss</w:t>
      </w:r>
    </w:p>
    <w:p w14:paraId="427F8A35" w14:textId="77777777" w:rsidR="00104E66" w:rsidRPr="00E57F17" w:rsidRDefault="00104E66" w:rsidP="00104E66">
      <w:r w:rsidRPr="00E57F17">
        <w:t>If POWER reduces turnover by more than 50%, it pays for itself in employer cost savings alone.</w:t>
      </w:r>
    </w:p>
    <w:p w14:paraId="31E5F017" w14:textId="77777777" w:rsidR="00104E66" w:rsidRPr="00E57F17" w:rsidRDefault="00104E66" w:rsidP="00104E66"/>
    <w:p w14:paraId="1914F7BA" w14:textId="77777777" w:rsidR="00987AF6" w:rsidRPr="00987AF6" w:rsidRDefault="00987AF6" w:rsidP="00987AF6">
      <w:pPr>
        <w:rPr>
          <w:u w:val="single"/>
        </w:rPr>
      </w:pPr>
      <w:r w:rsidRPr="00987AF6">
        <w:rPr>
          <w:u w:val="single"/>
        </w:rPr>
        <w:t>Conclusion</w:t>
      </w:r>
    </w:p>
    <w:p w14:paraId="54704C66" w14:textId="77777777" w:rsidR="00987AF6" w:rsidRPr="00987AF6" w:rsidRDefault="00987AF6" w:rsidP="00987AF6">
      <w:r w:rsidRPr="00987AF6">
        <w:t>Continuity of care is only possible when the early childhood workforce itself is stable. The research is unequivocal that children thrive when they experience consistent, caring relationships with educators who know them well, understand their developmental histories, and can respond to their needs over time. These relationships are not incidental to quality; they are the foundation of quality. Continuity supports attachment, language development, cognition, emotional regulation, and school readiness. When educators leave, children lose more than a familiar adult. They lose daily routines, relational trust, instructional consistency, and the emotional security that makes learning possible.</w:t>
      </w:r>
    </w:p>
    <w:p w14:paraId="732FB6E0" w14:textId="77777777" w:rsidR="00987AF6" w:rsidRPr="00987AF6" w:rsidRDefault="00987AF6" w:rsidP="00987AF6">
      <w:r w:rsidRPr="00987AF6">
        <w:t>Ohio’s TEACH and POWER programs demonstrate that workforce stability can be intentionally built through sustained public investment. TEACH strengthens educational attainment, career pathways, and long-term commitment to the early childhood field. POWER addresses compensation as one of the most persistent and practical drivers of turnover. Together, these programs provide a strong state-level model for how Ohio can invest in educators in ways that produce measurable benefits for children, families, and programs. Their impact makes clear that workforce investments are not separate from child outcomes; they are one of the most direct ways to protect children’s continuity of care.</w:t>
      </w:r>
    </w:p>
    <w:p w14:paraId="088796B4" w14:textId="1669BCBA" w:rsidR="00987AF6" w:rsidRPr="00987AF6" w:rsidRDefault="00987AF6" w:rsidP="00987AF6">
      <w:r w:rsidRPr="00987AF6">
        <w:t xml:space="preserve">The proposed Workforce Investment Now, or WIN, </w:t>
      </w:r>
      <w:proofErr w:type="gramStart"/>
      <w:r w:rsidRPr="00987AF6">
        <w:t>child care</w:t>
      </w:r>
      <w:proofErr w:type="gramEnd"/>
      <w:r w:rsidRPr="00987AF6">
        <w:t xml:space="preserve"> policy would strengthen this strategy by addressing another major barrier to retention: the inability of </w:t>
      </w:r>
      <w:proofErr w:type="gramStart"/>
      <w:r w:rsidRPr="00987AF6">
        <w:t>child care</w:t>
      </w:r>
      <w:proofErr w:type="gramEnd"/>
      <w:r w:rsidRPr="00987AF6">
        <w:t xml:space="preserve"> workers to afford care for their own children. </w:t>
      </w:r>
      <w:r w:rsidR="003229C3">
        <w:t xml:space="preserve">Instead of a pilot project, </w:t>
      </w:r>
      <w:r w:rsidR="009B531E">
        <w:t>a permanent implementation of WIN would</w:t>
      </w:r>
      <w:r w:rsidRPr="00987AF6">
        <w:t xml:space="preserve"> mak</w:t>
      </w:r>
      <w:r w:rsidR="009B531E">
        <w:t>e</w:t>
      </w:r>
      <w:r w:rsidRPr="00987AF6">
        <w:t xml:space="preserve"> qualifying </w:t>
      </w:r>
      <w:proofErr w:type="gramStart"/>
      <w:r w:rsidRPr="00987AF6">
        <w:t>child care</w:t>
      </w:r>
      <w:proofErr w:type="gramEnd"/>
      <w:r w:rsidRPr="00987AF6">
        <w:t xml:space="preserve"> staff categorically eligible for Publicly Funded Child Care, regardless of household income</w:t>
      </w:r>
      <w:r w:rsidR="009B531E">
        <w:t xml:space="preserve">. </w:t>
      </w:r>
      <w:r w:rsidRPr="00987AF6">
        <w:t xml:space="preserve">WIN would create a </w:t>
      </w:r>
      <w:r w:rsidRPr="00987AF6">
        <w:lastRenderedPageBreak/>
        <w:t xml:space="preserve">meaningful work-linked benefit that increases the real value of compensation without requiring providers to absorb the cost through already thin operating margins. For </w:t>
      </w:r>
      <w:proofErr w:type="gramStart"/>
      <w:r w:rsidRPr="00987AF6">
        <w:t>child care</w:t>
      </w:r>
      <w:proofErr w:type="gramEnd"/>
      <w:r w:rsidRPr="00987AF6">
        <w:t xml:space="preserve"> educators who are also parents, free or no-cost </w:t>
      </w:r>
      <w:proofErr w:type="gramStart"/>
      <w:r w:rsidRPr="00987AF6">
        <w:t>child care</w:t>
      </w:r>
      <w:proofErr w:type="gramEnd"/>
      <w:r w:rsidRPr="00987AF6">
        <w:t xml:space="preserve"> can reduce pressure to leave the field for higher-wage employment, make continued employment in </w:t>
      </w:r>
      <w:proofErr w:type="gramStart"/>
      <w:r w:rsidRPr="00987AF6">
        <w:t>child care</w:t>
      </w:r>
      <w:proofErr w:type="gramEnd"/>
      <w:r w:rsidRPr="00987AF6">
        <w:t xml:space="preserve"> financially viable, and support long-term workforce attachment.</w:t>
      </w:r>
    </w:p>
    <w:p w14:paraId="54AD3D73" w14:textId="7FA6BA29" w:rsidR="00987AF6" w:rsidRPr="00987AF6" w:rsidRDefault="009B531E" w:rsidP="00987AF6">
      <w:r>
        <w:t>Free</w:t>
      </w:r>
      <w:r w:rsidR="00987AF6" w:rsidRPr="00987AF6">
        <w:t xml:space="preserve"> </w:t>
      </w:r>
      <w:proofErr w:type="gramStart"/>
      <w:r w:rsidR="00987AF6" w:rsidRPr="00987AF6">
        <w:t>child care</w:t>
      </w:r>
      <w:proofErr w:type="gramEnd"/>
      <w:r w:rsidR="00987AF6" w:rsidRPr="00987AF6">
        <w:t xml:space="preserve"> for </w:t>
      </w:r>
      <w:proofErr w:type="gramStart"/>
      <w:r w:rsidR="00987AF6" w:rsidRPr="00987AF6">
        <w:t>child care</w:t>
      </w:r>
      <w:proofErr w:type="gramEnd"/>
      <w:r w:rsidR="00987AF6" w:rsidRPr="00987AF6">
        <w:t xml:space="preserve"> workers is not only an individual employee benefit. It is a retention strategy, a classroom-stability strategy, and a </w:t>
      </w:r>
      <w:proofErr w:type="gramStart"/>
      <w:r w:rsidR="00987AF6" w:rsidRPr="00987AF6">
        <w:t>child care</w:t>
      </w:r>
      <w:proofErr w:type="gramEnd"/>
      <w:r w:rsidR="00987AF6" w:rsidRPr="00987AF6">
        <w:t xml:space="preserve"> supply strategy. When educators can afford </w:t>
      </w:r>
      <w:proofErr w:type="gramStart"/>
      <w:r w:rsidR="00987AF6" w:rsidRPr="00987AF6">
        <w:t>care</w:t>
      </w:r>
      <w:proofErr w:type="gramEnd"/>
      <w:r w:rsidR="00987AF6" w:rsidRPr="00987AF6">
        <w:t xml:space="preserve"> for their own children, they are more likely to remain in the field, providers are better positioned to keep classrooms open, and families across the community benefit from more reliable access to care.</w:t>
      </w:r>
    </w:p>
    <w:p w14:paraId="151B3840" w14:textId="77777777" w:rsidR="00987AF6" w:rsidRPr="00987AF6" w:rsidRDefault="00987AF6" w:rsidP="00987AF6">
      <w:r w:rsidRPr="00987AF6">
        <w:t xml:space="preserve">For Ohio, the policy direction is clear. TEACH, POWER, and WIN should be understood as complementary elements of a comprehensive workforce stability agenda. TEACH supports education and professional growth. POWER supports compensation and retention. WIN would support </w:t>
      </w:r>
      <w:proofErr w:type="gramStart"/>
      <w:r w:rsidRPr="00987AF6">
        <w:t>child care</w:t>
      </w:r>
      <w:proofErr w:type="gramEnd"/>
      <w:r w:rsidRPr="00987AF6">
        <w:t xml:space="preserve"> affordability for the workforce itself. Together, these strategies address the interconnected reasons educators leave the field and create a stronger foundation for continuity of care. By expanding proven programs, enacting and evaluating the WIN pilot, embedding relational frameworks such as Developmental Assets into quality systems, and prioritizing continuity as a core policy goal, Ohio can lead the nation in building an early childhood system where educators can stay, children can thrive, and families can rely on consistent, high-quality care.</w:t>
      </w:r>
    </w:p>
    <w:p w14:paraId="67B6F7B6" w14:textId="77777777" w:rsidR="00104E66" w:rsidRPr="00E57F17" w:rsidRDefault="004C6E79" w:rsidP="00104E66">
      <w:r w:rsidRPr="00E57F17">
        <w:pict w14:anchorId="67AB9F8F">
          <v:rect id="_x0000_i1026" style="width:0;height:1.5pt" o:hralign="center" o:hrstd="t" o:hr="t" fillcolor="#a0a0a0" stroked="f"/>
        </w:pict>
      </w:r>
    </w:p>
    <w:p w14:paraId="7149DD0D" w14:textId="77777777" w:rsidR="00104E66" w:rsidRPr="00E57F17" w:rsidRDefault="00104E66" w:rsidP="00104E66">
      <w:r w:rsidRPr="00E57F17">
        <w:t xml:space="preserve">References </w:t>
      </w:r>
    </w:p>
    <w:p w14:paraId="39B2370E" w14:textId="77777777" w:rsidR="00104E66" w:rsidRPr="00E57F17" w:rsidRDefault="00104E66" w:rsidP="00104E66">
      <w:r w:rsidRPr="00E57F17">
        <w:t xml:space="preserve">Ahnert, L., </w:t>
      </w:r>
      <w:proofErr w:type="spellStart"/>
      <w:r w:rsidRPr="00E57F17">
        <w:t>Pinquart</w:t>
      </w:r>
      <w:proofErr w:type="spellEnd"/>
      <w:r w:rsidRPr="00E57F17">
        <w:t>, M., &amp; Lamb, M. E. (2006). Security of children's relationships with nonparental care providers: A meta-analysis. Child Development, 77(3), 664–679.</w:t>
      </w:r>
    </w:p>
    <w:p w14:paraId="04F6ED54" w14:textId="77777777" w:rsidR="00104E66" w:rsidRPr="00E57F17" w:rsidRDefault="00104E66" w:rsidP="00104E66">
      <w:r w:rsidRPr="00E57F17">
        <w:t>Bratsch</w:t>
      </w:r>
      <w:r w:rsidRPr="00E57F17">
        <w:noBreakHyphen/>
        <w:t xml:space="preserve">Hines, M. E., Carr, R., </w:t>
      </w:r>
      <w:proofErr w:type="spellStart"/>
      <w:r w:rsidRPr="00E57F17">
        <w:t>Zgourou</w:t>
      </w:r>
      <w:proofErr w:type="spellEnd"/>
      <w:r w:rsidRPr="00E57F17">
        <w:t>, E., Vernon</w:t>
      </w:r>
      <w:r w:rsidRPr="00E57F17">
        <w:noBreakHyphen/>
        <w:t>Feagans, L., &amp; Willoughby, M. (2020). Infant and toddler child</w:t>
      </w:r>
      <w:r w:rsidRPr="00E57F17">
        <w:noBreakHyphen/>
        <w:t>care quality and stability in relation to proximal and distal academic and social outcomes. Child Development, 91(6), 1854–1864.</w:t>
      </w:r>
    </w:p>
    <w:p w14:paraId="0FFB6FCF" w14:textId="77777777" w:rsidR="00104E66" w:rsidRPr="00E57F17" w:rsidRDefault="00104E66" w:rsidP="00104E66">
      <w:r w:rsidRPr="00E57F17">
        <w:t>Cassidy, D. J., Lower, J. K., Kintner</w:t>
      </w:r>
      <w:r w:rsidRPr="00E57F17">
        <w:noBreakHyphen/>
        <w:t xml:space="preserve">Duffy, V. L., Hegde, A. V., &amp; Shim, J. (2011). </w:t>
      </w:r>
      <w:proofErr w:type="gramStart"/>
      <w:r w:rsidRPr="00E57F17">
        <w:t>The day</w:t>
      </w:r>
      <w:r w:rsidRPr="00E57F17">
        <w:noBreakHyphen/>
        <w:t>to</w:t>
      </w:r>
      <w:r w:rsidRPr="00E57F17">
        <w:noBreakHyphen/>
        <w:t>day</w:t>
      </w:r>
      <w:proofErr w:type="gramEnd"/>
      <w:r w:rsidRPr="00E57F17">
        <w:t xml:space="preserve"> reality of teacher turnover in preschool classrooms. Journal of Research in Childhood Education, 25(1), 1–23.</w:t>
      </w:r>
    </w:p>
    <w:p w14:paraId="40938B18" w14:textId="77777777" w:rsidR="00B458FE" w:rsidRPr="00B458FE" w:rsidRDefault="00B458FE" w:rsidP="00B458FE">
      <w:r w:rsidRPr="00B458FE">
        <w:t xml:space="preserve">Center for the Study of Child Care Employment. (2024). What the Bluegrass State can teach us about increasing access to </w:t>
      </w:r>
      <w:proofErr w:type="gramStart"/>
      <w:r w:rsidRPr="00B458FE">
        <w:t>child care</w:t>
      </w:r>
      <w:proofErr w:type="gramEnd"/>
      <w:r w:rsidRPr="00B458FE">
        <w:t>.</w:t>
      </w:r>
    </w:p>
    <w:p w14:paraId="3BFD05D5" w14:textId="77777777" w:rsidR="00104E66" w:rsidRPr="00E57F17" w:rsidRDefault="00104E66" w:rsidP="00104E66">
      <w:r w:rsidRPr="00E57F17">
        <w:t>Cryer, D., Hurwitz, S., &amp; Wolery, M. (2003). Continuity of caregiver for infants and toddlers (ERIC Digest).</w:t>
      </w:r>
    </w:p>
    <w:p w14:paraId="55305B43" w14:textId="77777777" w:rsidR="00B458FE" w:rsidRPr="00B458FE" w:rsidRDefault="00B458FE" w:rsidP="00B458FE">
      <w:r w:rsidRPr="00B458FE">
        <w:lastRenderedPageBreak/>
        <w:t>ECE State Policy. (2026). Kentucky Child Care Assistance Program.</w:t>
      </w:r>
    </w:p>
    <w:p w14:paraId="74D5879B" w14:textId="77777777" w:rsidR="00104E66" w:rsidRPr="00E57F17" w:rsidRDefault="00104E66" w:rsidP="00104E66">
      <w:r w:rsidRPr="00E57F17">
        <w:t>Hall, T., Fares, I., Markowitz, A., Miller</w:t>
      </w:r>
      <w:r w:rsidRPr="00E57F17">
        <w:noBreakHyphen/>
        <w:t xml:space="preserve">Bains, K., &amp; </w:t>
      </w:r>
      <w:proofErr w:type="spellStart"/>
      <w:r w:rsidRPr="00E57F17">
        <w:t>Bassok</w:t>
      </w:r>
      <w:proofErr w:type="spellEnd"/>
      <w:r w:rsidRPr="00E57F17">
        <w:t xml:space="preserve">, D. (2024). Compensation and staffing challenges in </w:t>
      </w:r>
      <w:proofErr w:type="gramStart"/>
      <w:r w:rsidRPr="00E57F17">
        <w:t>child care</w:t>
      </w:r>
      <w:proofErr w:type="gramEnd"/>
      <w:r w:rsidRPr="00E57F17">
        <w:t>. Education Finance and Policy, 19(3).</w:t>
      </w:r>
    </w:p>
    <w:p w14:paraId="3EC02D3C" w14:textId="77777777" w:rsidR="00104E66" w:rsidRPr="00E57F17" w:rsidRDefault="00104E66" w:rsidP="00104E66">
      <w:r w:rsidRPr="00E57F17">
        <w:t>Howes, C., &amp; Hamilton, C. E. (1993). Children’s relationships with child</w:t>
      </w:r>
      <w:r w:rsidRPr="00E57F17">
        <w:noBreakHyphen/>
        <w:t>care teachers: Stability and concordance with parental attachments. Child Development, 64(3), 867–878.</w:t>
      </w:r>
    </w:p>
    <w:p w14:paraId="41358F79" w14:textId="77777777" w:rsidR="00B458FE" w:rsidRPr="00B458FE" w:rsidRDefault="00B458FE" w:rsidP="00B458FE">
      <w:r w:rsidRPr="00B458FE">
        <w:t xml:space="preserve">Kentucky Youth Advocates. (2023). Stabilizing </w:t>
      </w:r>
      <w:proofErr w:type="gramStart"/>
      <w:r w:rsidRPr="00B458FE">
        <w:t>child care</w:t>
      </w:r>
      <w:proofErr w:type="gramEnd"/>
      <w:r w:rsidRPr="00B458FE">
        <w:t xml:space="preserve"> requires investing in </w:t>
      </w:r>
      <w:proofErr w:type="gramStart"/>
      <w:r w:rsidRPr="00B458FE">
        <w:t>child care</w:t>
      </w:r>
      <w:proofErr w:type="gramEnd"/>
      <w:r w:rsidRPr="00B458FE">
        <w:t>.</w:t>
      </w:r>
    </w:p>
    <w:p w14:paraId="6D942E3C" w14:textId="77777777" w:rsidR="00104E66" w:rsidRPr="00E57F17" w:rsidRDefault="00104E66" w:rsidP="00104E66">
      <w:r w:rsidRPr="00E57F17">
        <w:t>Markowitz, A. J. (2024). Within</w:t>
      </w:r>
      <w:r w:rsidRPr="00E57F17">
        <w:noBreakHyphen/>
        <w:t>year teacher turnover in Head Start and children’s school readiness. AERA Open.</w:t>
      </w:r>
    </w:p>
    <w:p w14:paraId="68BEB306" w14:textId="77777777" w:rsidR="00104E66" w:rsidRPr="00E57F17" w:rsidRDefault="00104E66" w:rsidP="00104E66">
      <w:r w:rsidRPr="00E57F17">
        <w:t>NICHD Early Child Care Research Network. (1997, 2006). Studies on attachment, caregiving stability, and child development.</w:t>
      </w:r>
    </w:p>
    <w:p w14:paraId="7B2F932F" w14:textId="77777777" w:rsidR="00B458FE" w:rsidRPr="00E57F17" w:rsidRDefault="00B458FE" w:rsidP="00B458FE">
      <w:r w:rsidRPr="00E57F17">
        <w:t>OCCRRA Workforce and Program Analysis Platform (WPAP). (2025). TEACH &amp; POWER Reports and Insights.</w:t>
      </w:r>
    </w:p>
    <w:p w14:paraId="76E6D780" w14:textId="77777777" w:rsidR="00104E66" w:rsidRPr="00E57F17" w:rsidRDefault="00104E66" w:rsidP="00104E66">
      <w:r w:rsidRPr="00E57F17">
        <w:t>Search Institute. (2018–2024). Developmental Assets &amp; Developmental Relationships frameworks.</w:t>
      </w:r>
    </w:p>
    <w:p w14:paraId="5FE7800A" w14:textId="77777777" w:rsidR="00B458FE" w:rsidRPr="00B458FE" w:rsidRDefault="00B458FE" w:rsidP="00B458FE">
      <w:r w:rsidRPr="00B458FE">
        <w:t xml:space="preserve">Sullivan, E. T. (2026). Kentucky’s childcare benefit for early educators is spreading fast. </w:t>
      </w:r>
      <w:proofErr w:type="gramStart"/>
      <w:r w:rsidRPr="00B458FE">
        <w:t>The 74</w:t>
      </w:r>
      <w:proofErr w:type="gramEnd"/>
      <w:r w:rsidRPr="00B458FE">
        <w:t>.</w:t>
      </w:r>
    </w:p>
    <w:p w14:paraId="10E6400A" w14:textId="77777777" w:rsidR="00104E66" w:rsidRPr="00E57F17" w:rsidRDefault="00104E66" w:rsidP="00104E66">
      <w:r w:rsidRPr="00E57F17">
        <w:t xml:space="preserve">Urban Institute. (2024). </w:t>
      </w:r>
      <w:proofErr w:type="gramStart"/>
      <w:r w:rsidRPr="00E57F17">
        <w:t>Child care</w:t>
      </w:r>
      <w:proofErr w:type="gramEnd"/>
      <w:r w:rsidRPr="00E57F17">
        <w:t xml:space="preserve"> centers that pay their teachers more are less likely to have staffing challenges.</w:t>
      </w:r>
    </w:p>
    <w:p w14:paraId="6C3380E5" w14:textId="77777777" w:rsidR="00104E66" w:rsidRPr="00E57F17" w:rsidRDefault="00104E66" w:rsidP="00104E66">
      <w:r w:rsidRPr="00E57F17">
        <w:t>Yoshikawa, H., Weiland, C., Brooks</w:t>
      </w:r>
      <w:r w:rsidRPr="00E57F17">
        <w:noBreakHyphen/>
        <w:t>Gunn, J., Burchinal, M. R., Espinosa, L. M., Gormley, W. T., … &amp; Zaslow, M. J. (2013). Investing in our Future: The Evidence Base on Preschool Education.</w:t>
      </w:r>
    </w:p>
    <w:p w14:paraId="4258902B" w14:textId="77777777" w:rsidR="00197E8D" w:rsidRPr="00E57F17" w:rsidRDefault="00197E8D"/>
    <w:sectPr w:rsidR="00197E8D" w:rsidRPr="00E57F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2D66"/>
    <w:multiLevelType w:val="hybridMultilevel"/>
    <w:tmpl w:val="9B00D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077BF"/>
    <w:multiLevelType w:val="hybridMultilevel"/>
    <w:tmpl w:val="64AEC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B63F09"/>
    <w:multiLevelType w:val="hybridMultilevel"/>
    <w:tmpl w:val="FC143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B748E2"/>
    <w:multiLevelType w:val="hybridMultilevel"/>
    <w:tmpl w:val="B170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93435D"/>
    <w:multiLevelType w:val="hybridMultilevel"/>
    <w:tmpl w:val="1CD45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0376BB"/>
    <w:multiLevelType w:val="hybridMultilevel"/>
    <w:tmpl w:val="530A0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055C18"/>
    <w:multiLevelType w:val="hybridMultilevel"/>
    <w:tmpl w:val="88BE4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CC632F"/>
    <w:multiLevelType w:val="hybridMultilevel"/>
    <w:tmpl w:val="7CEAA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216730"/>
    <w:multiLevelType w:val="hybridMultilevel"/>
    <w:tmpl w:val="E162F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5211F8"/>
    <w:multiLevelType w:val="hybridMultilevel"/>
    <w:tmpl w:val="0B76F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BF0BEE"/>
    <w:multiLevelType w:val="hybridMultilevel"/>
    <w:tmpl w:val="A434E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95154B"/>
    <w:multiLevelType w:val="hybridMultilevel"/>
    <w:tmpl w:val="2E887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9359920">
    <w:abstractNumId w:val="1"/>
  </w:num>
  <w:num w:numId="2" w16cid:durableId="713891045">
    <w:abstractNumId w:val="3"/>
  </w:num>
  <w:num w:numId="3" w16cid:durableId="1323313271">
    <w:abstractNumId w:val="2"/>
  </w:num>
  <w:num w:numId="4" w16cid:durableId="1441756065">
    <w:abstractNumId w:val="4"/>
  </w:num>
  <w:num w:numId="5" w16cid:durableId="681124475">
    <w:abstractNumId w:val="0"/>
  </w:num>
  <w:num w:numId="6" w16cid:durableId="1257664738">
    <w:abstractNumId w:val="7"/>
  </w:num>
  <w:num w:numId="7" w16cid:durableId="2080858600">
    <w:abstractNumId w:val="5"/>
  </w:num>
  <w:num w:numId="8" w16cid:durableId="1682321193">
    <w:abstractNumId w:val="11"/>
  </w:num>
  <w:num w:numId="9" w16cid:durableId="1773161209">
    <w:abstractNumId w:val="9"/>
  </w:num>
  <w:num w:numId="10" w16cid:durableId="1414005675">
    <w:abstractNumId w:val="10"/>
  </w:num>
  <w:num w:numId="11" w16cid:durableId="1156452538">
    <w:abstractNumId w:val="8"/>
  </w:num>
  <w:num w:numId="12" w16cid:durableId="6081228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E66"/>
    <w:rsid w:val="000A700C"/>
    <w:rsid w:val="00104E66"/>
    <w:rsid w:val="00175DC2"/>
    <w:rsid w:val="00197E8D"/>
    <w:rsid w:val="001D5F29"/>
    <w:rsid w:val="001F5120"/>
    <w:rsid w:val="002B7555"/>
    <w:rsid w:val="003229C3"/>
    <w:rsid w:val="003B6088"/>
    <w:rsid w:val="0050673D"/>
    <w:rsid w:val="005F03A6"/>
    <w:rsid w:val="006815AC"/>
    <w:rsid w:val="006E6137"/>
    <w:rsid w:val="007B2120"/>
    <w:rsid w:val="008F2D81"/>
    <w:rsid w:val="00987AF6"/>
    <w:rsid w:val="009B531E"/>
    <w:rsid w:val="00B458FE"/>
    <w:rsid w:val="00CE37EE"/>
    <w:rsid w:val="00E57F17"/>
    <w:rsid w:val="00F27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60C55"/>
  <w15:chartTrackingRefBased/>
  <w15:docId w15:val="{53CB87B2-D349-4F15-BB91-31652ED4C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E66"/>
  </w:style>
  <w:style w:type="paragraph" w:styleId="Heading1">
    <w:name w:val="heading 1"/>
    <w:basedOn w:val="Normal"/>
    <w:next w:val="Normal"/>
    <w:link w:val="Heading1Char"/>
    <w:uiPriority w:val="9"/>
    <w:qFormat/>
    <w:rsid w:val="00104E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4E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E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E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E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E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4E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E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E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E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4E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E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E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E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E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4E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E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E66"/>
    <w:rPr>
      <w:rFonts w:eastAsiaTheme="majorEastAsia" w:cstheme="majorBidi"/>
      <w:color w:val="272727" w:themeColor="text1" w:themeTint="D8"/>
    </w:rPr>
  </w:style>
  <w:style w:type="paragraph" w:styleId="Title">
    <w:name w:val="Title"/>
    <w:basedOn w:val="Normal"/>
    <w:next w:val="Normal"/>
    <w:link w:val="TitleChar"/>
    <w:uiPriority w:val="10"/>
    <w:qFormat/>
    <w:rsid w:val="00104E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E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E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E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E66"/>
    <w:pPr>
      <w:spacing w:before="160"/>
      <w:jc w:val="center"/>
    </w:pPr>
    <w:rPr>
      <w:i/>
      <w:iCs/>
      <w:color w:val="404040" w:themeColor="text1" w:themeTint="BF"/>
    </w:rPr>
  </w:style>
  <w:style w:type="character" w:customStyle="1" w:styleId="QuoteChar">
    <w:name w:val="Quote Char"/>
    <w:basedOn w:val="DefaultParagraphFont"/>
    <w:link w:val="Quote"/>
    <w:uiPriority w:val="29"/>
    <w:rsid w:val="00104E66"/>
    <w:rPr>
      <w:i/>
      <w:iCs/>
      <w:color w:val="404040" w:themeColor="text1" w:themeTint="BF"/>
    </w:rPr>
  </w:style>
  <w:style w:type="paragraph" w:styleId="ListParagraph">
    <w:name w:val="List Paragraph"/>
    <w:basedOn w:val="Normal"/>
    <w:uiPriority w:val="34"/>
    <w:qFormat/>
    <w:rsid w:val="00104E66"/>
    <w:pPr>
      <w:ind w:left="720"/>
      <w:contextualSpacing/>
    </w:pPr>
  </w:style>
  <w:style w:type="character" w:styleId="IntenseEmphasis">
    <w:name w:val="Intense Emphasis"/>
    <w:basedOn w:val="DefaultParagraphFont"/>
    <w:uiPriority w:val="21"/>
    <w:qFormat/>
    <w:rsid w:val="00104E66"/>
    <w:rPr>
      <w:i/>
      <w:iCs/>
      <w:color w:val="0F4761" w:themeColor="accent1" w:themeShade="BF"/>
    </w:rPr>
  </w:style>
  <w:style w:type="paragraph" w:styleId="IntenseQuote">
    <w:name w:val="Intense Quote"/>
    <w:basedOn w:val="Normal"/>
    <w:next w:val="Normal"/>
    <w:link w:val="IntenseQuoteChar"/>
    <w:uiPriority w:val="30"/>
    <w:qFormat/>
    <w:rsid w:val="00104E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E66"/>
    <w:rPr>
      <w:i/>
      <w:iCs/>
      <w:color w:val="0F4761" w:themeColor="accent1" w:themeShade="BF"/>
    </w:rPr>
  </w:style>
  <w:style w:type="character" w:styleId="IntenseReference">
    <w:name w:val="Intense Reference"/>
    <w:basedOn w:val="DefaultParagraphFont"/>
    <w:uiPriority w:val="32"/>
    <w:qFormat/>
    <w:rsid w:val="00104E66"/>
    <w:rPr>
      <w:b/>
      <w:bCs/>
      <w:smallCaps/>
      <w:color w:val="0F4761" w:themeColor="accent1" w:themeShade="BF"/>
      <w:spacing w:val="5"/>
    </w:rPr>
  </w:style>
  <w:style w:type="character" w:styleId="Hyperlink">
    <w:name w:val="Hyperlink"/>
    <w:basedOn w:val="DefaultParagraphFont"/>
    <w:uiPriority w:val="99"/>
    <w:unhideWhenUsed/>
    <w:rsid w:val="001F5120"/>
    <w:rPr>
      <w:color w:val="467886" w:themeColor="hyperlink"/>
      <w:u w:val="single"/>
    </w:rPr>
  </w:style>
  <w:style w:type="character" w:styleId="UnresolvedMention">
    <w:name w:val="Unresolved Mention"/>
    <w:basedOn w:val="DefaultParagraphFont"/>
    <w:uiPriority w:val="99"/>
    <w:semiHidden/>
    <w:unhideWhenUsed/>
    <w:rsid w:val="001F51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scce.berkeley.edu/publications/brief/kentucky-mode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3266</Words>
  <Characters>21624</Characters>
  <Application>Microsoft Office Word</Application>
  <DocSecurity>0</DocSecurity>
  <Lines>400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Angellatta</dc:creator>
  <cp:keywords/>
  <dc:description/>
  <cp:lastModifiedBy>Chris Angellatta</cp:lastModifiedBy>
  <cp:revision>2</cp:revision>
  <dcterms:created xsi:type="dcterms:W3CDTF">2026-08-26T15:28:00Z</dcterms:created>
  <dcterms:modified xsi:type="dcterms:W3CDTF">2026-08-26T15:28:00Z</dcterms:modified>
</cp:coreProperties>
</file>